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33F7DD" w14:textId="77777777" w:rsidR="00FD6C5B" w:rsidRDefault="00FD6C5B" w:rsidP="000154A4">
      <w:pPr>
        <w:pStyle w:val="NormalWeb"/>
        <w:spacing w:before="0" w:beforeAutospacing="0" w:after="0" w:afterAutospacing="0"/>
        <w:contextualSpacing/>
        <w:mirrorIndents/>
        <w:jc w:val="both"/>
        <w:rPr>
          <w:b/>
          <w:bCs/>
          <w:sz w:val="28"/>
          <w:szCs w:val="20"/>
        </w:rPr>
      </w:pPr>
      <w:r w:rsidRPr="0090156D">
        <w:rPr>
          <w:b/>
          <w:bCs/>
          <w:sz w:val="28"/>
          <w:szCs w:val="20"/>
        </w:rPr>
        <w:t>Case</w:t>
      </w:r>
      <w:r>
        <w:rPr>
          <w:b/>
          <w:bCs/>
          <w:sz w:val="28"/>
          <w:szCs w:val="20"/>
        </w:rPr>
        <w:t xml:space="preserve"> Report</w:t>
      </w:r>
    </w:p>
    <w:p w14:paraId="0CB8B48D" w14:textId="77777777" w:rsidR="00FD6C5B" w:rsidRPr="00195EBC" w:rsidRDefault="00FD6C5B" w:rsidP="000154A4">
      <w:pPr>
        <w:pStyle w:val="NormalWeb"/>
        <w:spacing w:before="0" w:beforeAutospacing="0" w:after="0" w:afterAutospacing="0"/>
        <w:contextualSpacing/>
        <w:mirrorIndents/>
        <w:jc w:val="both"/>
        <w:rPr>
          <w:bCs/>
          <w:sz w:val="20"/>
          <w:szCs w:val="20"/>
        </w:rPr>
      </w:pPr>
    </w:p>
    <w:p w14:paraId="24F341D7" w14:textId="77777777" w:rsidR="00FD6C5B" w:rsidRPr="00BA04BC" w:rsidRDefault="00CD44AD" w:rsidP="000154A4">
      <w:pPr>
        <w:pStyle w:val="NormalWeb"/>
        <w:spacing w:before="0" w:beforeAutospacing="0" w:after="0" w:afterAutospacing="0"/>
        <w:contextualSpacing/>
        <w:mirrorIndents/>
        <w:jc w:val="center"/>
        <w:rPr>
          <w:b/>
          <w:bCs/>
          <w:sz w:val="52"/>
          <w:szCs w:val="20"/>
        </w:rPr>
      </w:pPr>
      <w:r w:rsidRPr="00CD44AD">
        <w:rPr>
          <w:b/>
          <w:bCs/>
          <w:sz w:val="52"/>
          <w:szCs w:val="20"/>
        </w:rPr>
        <w:t>Agranulocytosis due to Piperacillin-Tazobactam Manifested by an Atypical Symptom: A Case Report</w:t>
      </w:r>
    </w:p>
    <w:p w14:paraId="2331ACEC" w14:textId="77777777" w:rsidR="00FD6C5B" w:rsidRPr="005D0ACA" w:rsidRDefault="00FD6C5B" w:rsidP="000154A4">
      <w:pPr>
        <w:pStyle w:val="NormalWeb"/>
        <w:spacing w:before="0" w:beforeAutospacing="0" w:after="0" w:afterAutospacing="0"/>
        <w:contextualSpacing/>
        <w:mirrorIndents/>
        <w:jc w:val="both"/>
        <w:rPr>
          <w:bCs/>
          <w:sz w:val="20"/>
          <w:szCs w:val="20"/>
        </w:rPr>
      </w:pPr>
    </w:p>
    <w:p w14:paraId="43C3AF14" w14:textId="77777777" w:rsidR="00FD6C5B" w:rsidRPr="006A3D23" w:rsidRDefault="00A24F4A" w:rsidP="000154A4">
      <w:pPr>
        <w:tabs>
          <w:tab w:val="left" w:pos="5025"/>
        </w:tabs>
        <w:spacing w:after="0" w:line="240" w:lineRule="auto"/>
        <w:contextualSpacing/>
        <w:mirrorIndents/>
        <w:jc w:val="both"/>
        <w:rPr>
          <w:rFonts w:ascii="Times New Roman" w:eastAsia="Times New Roman" w:hAnsi="Times New Roman" w:cs="Times New Roman"/>
          <w:b/>
          <w:sz w:val="36"/>
        </w:rPr>
      </w:pPr>
      <w:r w:rsidRPr="00A24F4A">
        <w:rPr>
          <w:rFonts w:ascii="Times New Roman" w:eastAsia="Times New Roman" w:hAnsi="Times New Roman" w:cs="Times New Roman"/>
          <w:b/>
          <w:sz w:val="36"/>
        </w:rPr>
        <w:t>Ro</w:t>
      </w:r>
      <w:r>
        <w:rPr>
          <w:rFonts w:ascii="Times New Roman" w:eastAsia="Times New Roman" w:hAnsi="Times New Roman" w:cs="Times New Roman"/>
          <w:b/>
          <w:sz w:val="36"/>
        </w:rPr>
        <w:t>yce Johnson</w:t>
      </w:r>
      <w:r w:rsidRPr="00A24F4A">
        <w:rPr>
          <w:rFonts w:ascii="Times New Roman" w:eastAsia="Times New Roman" w:hAnsi="Times New Roman" w:cs="Times New Roman"/>
          <w:b/>
          <w:color w:val="FF0000"/>
          <w:sz w:val="36"/>
          <w:vertAlign w:val="superscript"/>
        </w:rPr>
        <w:t>1</w:t>
      </w:r>
      <w:r>
        <w:rPr>
          <w:rFonts w:ascii="Times New Roman" w:eastAsia="Times New Roman" w:hAnsi="Times New Roman" w:cs="Times New Roman"/>
          <w:b/>
          <w:sz w:val="36"/>
        </w:rPr>
        <w:t>, Kevin Chen</w:t>
      </w:r>
      <w:r w:rsidRPr="00A24F4A">
        <w:rPr>
          <w:rFonts w:ascii="Times New Roman" w:eastAsia="Times New Roman" w:hAnsi="Times New Roman" w:cs="Times New Roman"/>
          <w:b/>
          <w:color w:val="FF0000"/>
          <w:sz w:val="36"/>
          <w:vertAlign w:val="superscript"/>
        </w:rPr>
        <w:t>4</w:t>
      </w:r>
      <w:r w:rsidRPr="00A24F4A">
        <w:rPr>
          <w:rFonts w:ascii="Times New Roman" w:eastAsia="Times New Roman" w:hAnsi="Times New Roman" w:cs="Times New Roman"/>
          <w:b/>
          <w:sz w:val="36"/>
        </w:rPr>
        <w:t>, Carlos D’A</w:t>
      </w:r>
      <w:r>
        <w:rPr>
          <w:rFonts w:ascii="Times New Roman" w:eastAsia="Times New Roman" w:hAnsi="Times New Roman" w:cs="Times New Roman"/>
          <w:b/>
          <w:sz w:val="36"/>
        </w:rPr>
        <w:t>ssumpcao</w:t>
      </w:r>
      <w:r w:rsidRPr="00A24F4A">
        <w:rPr>
          <w:rFonts w:ascii="Times New Roman" w:eastAsia="Times New Roman" w:hAnsi="Times New Roman" w:cs="Times New Roman"/>
          <w:b/>
          <w:color w:val="FF0000"/>
          <w:sz w:val="36"/>
          <w:vertAlign w:val="superscript"/>
        </w:rPr>
        <w:t>1</w:t>
      </w:r>
      <w:r>
        <w:rPr>
          <w:rFonts w:ascii="Times New Roman" w:eastAsia="Times New Roman" w:hAnsi="Times New Roman" w:cs="Times New Roman"/>
          <w:b/>
          <w:sz w:val="36"/>
        </w:rPr>
        <w:t>, William Stull</w:t>
      </w:r>
      <w:r w:rsidRPr="00A24F4A">
        <w:rPr>
          <w:rFonts w:ascii="Times New Roman" w:eastAsia="Times New Roman" w:hAnsi="Times New Roman" w:cs="Times New Roman"/>
          <w:b/>
          <w:color w:val="FF0000"/>
          <w:sz w:val="36"/>
          <w:vertAlign w:val="superscript"/>
        </w:rPr>
        <w:t>3</w:t>
      </w:r>
      <w:r>
        <w:rPr>
          <w:rFonts w:ascii="Times New Roman" w:eastAsia="Times New Roman" w:hAnsi="Times New Roman" w:cs="Times New Roman"/>
          <w:b/>
          <w:sz w:val="36"/>
        </w:rPr>
        <w:t>, Rasha Kuran</w:t>
      </w:r>
      <w:r w:rsidRPr="00A24F4A">
        <w:rPr>
          <w:rFonts w:ascii="Times New Roman" w:eastAsia="Times New Roman" w:hAnsi="Times New Roman" w:cs="Times New Roman"/>
          <w:b/>
          <w:color w:val="FF0000"/>
          <w:sz w:val="36"/>
          <w:vertAlign w:val="superscript"/>
        </w:rPr>
        <w:t>1</w:t>
      </w:r>
      <w:r w:rsidRPr="00A24F4A">
        <w:rPr>
          <w:rFonts w:ascii="Times New Roman" w:eastAsia="Times New Roman" w:hAnsi="Times New Roman" w:cs="Times New Roman"/>
          <w:b/>
          <w:sz w:val="36"/>
        </w:rPr>
        <w:t>, Michell</w:t>
      </w:r>
      <w:r>
        <w:rPr>
          <w:rFonts w:ascii="Times New Roman" w:eastAsia="Times New Roman" w:hAnsi="Times New Roman" w:cs="Times New Roman"/>
          <w:b/>
          <w:sz w:val="36"/>
        </w:rPr>
        <w:t>e Fang</w:t>
      </w:r>
      <w:r w:rsidRPr="00A24F4A">
        <w:rPr>
          <w:rFonts w:ascii="Times New Roman" w:eastAsia="Times New Roman" w:hAnsi="Times New Roman" w:cs="Times New Roman"/>
          <w:b/>
          <w:color w:val="FF0000"/>
          <w:sz w:val="36"/>
          <w:vertAlign w:val="superscript"/>
        </w:rPr>
        <w:t>1</w:t>
      </w:r>
      <w:r>
        <w:rPr>
          <w:rFonts w:ascii="Times New Roman" w:eastAsia="Times New Roman" w:hAnsi="Times New Roman" w:cs="Times New Roman"/>
          <w:b/>
          <w:sz w:val="36"/>
        </w:rPr>
        <w:t>, Stanley Kim</w:t>
      </w:r>
      <w:r w:rsidRPr="00A24F4A">
        <w:rPr>
          <w:rFonts w:ascii="Times New Roman" w:eastAsia="Times New Roman" w:hAnsi="Times New Roman" w:cs="Times New Roman"/>
          <w:b/>
          <w:color w:val="FF0000"/>
          <w:sz w:val="36"/>
          <w:vertAlign w:val="superscript"/>
        </w:rPr>
        <w:t>2*</w:t>
      </w:r>
      <w:r>
        <w:rPr>
          <w:rFonts w:ascii="Times New Roman" w:eastAsia="Times New Roman" w:hAnsi="Times New Roman" w:cs="Times New Roman"/>
          <w:b/>
          <w:sz w:val="36"/>
        </w:rPr>
        <w:t xml:space="preserve"> </w:t>
      </w:r>
    </w:p>
    <w:p w14:paraId="452067D5" w14:textId="77777777" w:rsidR="00FD6C5B" w:rsidRDefault="00FD6C5B" w:rsidP="000154A4">
      <w:pPr>
        <w:pStyle w:val="NoSpacing"/>
        <w:jc w:val="both"/>
        <w:rPr>
          <w:rFonts w:ascii="Times New Roman" w:hAnsi="Times New Roman" w:cs="Times New Roman"/>
          <w:sz w:val="20"/>
        </w:rPr>
      </w:pPr>
    </w:p>
    <w:p w14:paraId="073C40DB" w14:textId="77777777" w:rsidR="00A24F4A" w:rsidRPr="00A24F4A" w:rsidRDefault="00A24F4A" w:rsidP="000154A4">
      <w:pPr>
        <w:pStyle w:val="NoSpacing"/>
        <w:jc w:val="both"/>
        <w:rPr>
          <w:rFonts w:ascii="Times New Roman" w:hAnsi="Times New Roman" w:cs="Times New Roman"/>
          <w:sz w:val="20"/>
        </w:rPr>
      </w:pPr>
      <w:r w:rsidRPr="00A24F4A">
        <w:rPr>
          <w:rFonts w:ascii="Times New Roman" w:hAnsi="Times New Roman" w:cs="Times New Roman"/>
          <w:color w:val="FF0000"/>
          <w:sz w:val="20"/>
          <w:vertAlign w:val="superscript"/>
        </w:rPr>
        <w:t>1</w:t>
      </w:r>
      <w:r w:rsidRPr="00A24F4A">
        <w:rPr>
          <w:rFonts w:ascii="Times New Roman" w:hAnsi="Times New Roman" w:cs="Times New Roman"/>
          <w:sz w:val="20"/>
        </w:rPr>
        <w:t xml:space="preserve">Division of </w:t>
      </w:r>
      <w:r w:rsidR="003C4E1C" w:rsidRPr="00A24F4A">
        <w:rPr>
          <w:rFonts w:ascii="Times New Roman" w:hAnsi="Times New Roman" w:cs="Times New Roman"/>
          <w:sz w:val="20"/>
        </w:rPr>
        <w:t>Infectious Disease</w:t>
      </w:r>
      <w:r w:rsidRPr="00A24F4A">
        <w:rPr>
          <w:rFonts w:ascii="Times New Roman" w:hAnsi="Times New Roman" w:cs="Times New Roman"/>
          <w:sz w:val="20"/>
        </w:rPr>
        <w:t xml:space="preserve">, </w:t>
      </w:r>
      <w:r w:rsidR="003C4E1C" w:rsidRPr="00A24F4A">
        <w:rPr>
          <w:rFonts w:ascii="Times New Roman" w:hAnsi="Times New Roman" w:cs="Times New Roman"/>
          <w:sz w:val="20"/>
        </w:rPr>
        <w:t>Department of Medicine</w:t>
      </w:r>
      <w:r w:rsidRPr="00A24F4A">
        <w:rPr>
          <w:rFonts w:ascii="Times New Roman" w:hAnsi="Times New Roman" w:cs="Times New Roman"/>
          <w:sz w:val="20"/>
        </w:rPr>
        <w:t>, Kern Medical, Bakersfield, CA, USA</w:t>
      </w:r>
    </w:p>
    <w:p w14:paraId="2D90C94F" w14:textId="77777777" w:rsidR="00A24F4A" w:rsidRPr="00A24F4A" w:rsidRDefault="00A24F4A" w:rsidP="000154A4">
      <w:pPr>
        <w:pStyle w:val="NoSpacing"/>
        <w:jc w:val="both"/>
        <w:rPr>
          <w:rFonts w:ascii="Times New Roman" w:hAnsi="Times New Roman" w:cs="Times New Roman"/>
          <w:sz w:val="20"/>
        </w:rPr>
      </w:pPr>
      <w:r w:rsidRPr="00A24F4A">
        <w:rPr>
          <w:rFonts w:ascii="Times New Roman" w:hAnsi="Times New Roman" w:cs="Times New Roman"/>
          <w:color w:val="FF0000"/>
          <w:sz w:val="20"/>
          <w:vertAlign w:val="superscript"/>
        </w:rPr>
        <w:t>2</w:t>
      </w:r>
      <w:r w:rsidRPr="00A24F4A">
        <w:rPr>
          <w:rFonts w:ascii="Times New Roman" w:hAnsi="Times New Roman" w:cs="Times New Roman"/>
          <w:sz w:val="20"/>
        </w:rPr>
        <w:t xml:space="preserve">Division of </w:t>
      </w:r>
      <w:proofErr w:type="spellStart"/>
      <w:r w:rsidR="003C4E1C" w:rsidRPr="00A24F4A">
        <w:rPr>
          <w:rFonts w:ascii="Times New Roman" w:hAnsi="Times New Roman" w:cs="Times New Roman"/>
          <w:sz w:val="20"/>
        </w:rPr>
        <w:t>Hematology</w:t>
      </w:r>
      <w:proofErr w:type="spellEnd"/>
      <w:r w:rsidR="003C4E1C" w:rsidRPr="00A24F4A">
        <w:rPr>
          <w:rFonts w:ascii="Times New Roman" w:hAnsi="Times New Roman" w:cs="Times New Roman"/>
          <w:sz w:val="20"/>
        </w:rPr>
        <w:t>-Medical Oncology</w:t>
      </w:r>
      <w:r w:rsidRPr="00A24F4A">
        <w:rPr>
          <w:rFonts w:ascii="Times New Roman" w:hAnsi="Times New Roman" w:cs="Times New Roman"/>
          <w:sz w:val="20"/>
        </w:rPr>
        <w:t xml:space="preserve">, </w:t>
      </w:r>
      <w:r w:rsidR="003C4E1C" w:rsidRPr="00A24F4A">
        <w:rPr>
          <w:rFonts w:ascii="Times New Roman" w:hAnsi="Times New Roman" w:cs="Times New Roman"/>
          <w:sz w:val="20"/>
        </w:rPr>
        <w:t>Department of Medicine</w:t>
      </w:r>
      <w:r w:rsidRPr="00A24F4A">
        <w:rPr>
          <w:rFonts w:ascii="Times New Roman" w:hAnsi="Times New Roman" w:cs="Times New Roman"/>
          <w:sz w:val="20"/>
        </w:rPr>
        <w:t>, Kern Medical, Bakersfield, CA, USA</w:t>
      </w:r>
    </w:p>
    <w:p w14:paraId="26879492" w14:textId="77777777" w:rsidR="00A24F4A" w:rsidRPr="00A24F4A" w:rsidRDefault="00A24F4A" w:rsidP="000154A4">
      <w:pPr>
        <w:pStyle w:val="NoSpacing"/>
        <w:jc w:val="both"/>
        <w:rPr>
          <w:rFonts w:ascii="Times New Roman" w:hAnsi="Times New Roman" w:cs="Times New Roman"/>
          <w:sz w:val="20"/>
        </w:rPr>
      </w:pPr>
      <w:r w:rsidRPr="00A24F4A">
        <w:rPr>
          <w:rFonts w:ascii="Times New Roman" w:hAnsi="Times New Roman" w:cs="Times New Roman"/>
          <w:color w:val="FF0000"/>
          <w:sz w:val="20"/>
          <w:vertAlign w:val="superscript"/>
        </w:rPr>
        <w:t>3</w:t>
      </w:r>
      <w:r w:rsidRPr="00A24F4A">
        <w:rPr>
          <w:rFonts w:ascii="Times New Roman" w:hAnsi="Times New Roman" w:cs="Times New Roman"/>
          <w:sz w:val="20"/>
        </w:rPr>
        <w:t xml:space="preserve">Department of </w:t>
      </w:r>
      <w:r w:rsidR="003C4E1C" w:rsidRPr="00A24F4A">
        <w:rPr>
          <w:rFonts w:ascii="Times New Roman" w:hAnsi="Times New Roman" w:cs="Times New Roman"/>
          <w:sz w:val="20"/>
        </w:rPr>
        <w:t>Pathology</w:t>
      </w:r>
      <w:r w:rsidRPr="00A24F4A">
        <w:rPr>
          <w:rFonts w:ascii="Times New Roman" w:hAnsi="Times New Roman" w:cs="Times New Roman"/>
          <w:sz w:val="20"/>
        </w:rPr>
        <w:t>, Kern Medical, Bakersfield, CA, USA</w:t>
      </w:r>
    </w:p>
    <w:p w14:paraId="3A5B79B5" w14:textId="77777777" w:rsidR="00A24F4A" w:rsidRPr="00815276" w:rsidRDefault="00A24F4A" w:rsidP="000154A4">
      <w:pPr>
        <w:pStyle w:val="NoSpacing"/>
        <w:jc w:val="both"/>
        <w:rPr>
          <w:rFonts w:ascii="Times New Roman" w:hAnsi="Times New Roman" w:cs="Times New Roman"/>
          <w:sz w:val="20"/>
        </w:rPr>
      </w:pPr>
      <w:r w:rsidRPr="00A24F4A">
        <w:rPr>
          <w:rFonts w:ascii="Times New Roman" w:hAnsi="Times New Roman" w:cs="Times New Roman"/>
          <w:color w:val="FF0000"/>
          <w:sz w:val="20"/>
          <w:vertAlign w:val="superscript"/>
        </w:rPr>
        <w:t>4</w:t>
      </w:r>
      <w:r w:rsidRPr="00A24F4A">
        <w:rPr>
          <w:rFonts w:ascii="Times New Roman" w:hAnsi="Times New Roman" w:cs="Times New Roman"/>
          <w:sz w:val="20"/>
        </w:rPr>
        <w:t>Western University of Health Sciences - College of Osteopathic Medicine of the Pacific, Pomona, CA, USA</w:t>
      </w:r>
    </w:p>
    <w:p w14:paraId="6258F855" w14:textId="77777777" w:rsidR="00FD6C5B" w:rsidRPr="00E22F83" w:rsidRDefault="00FD6C5B" w:rsidP="000154A4">
      <w:pPr>
        <w:pStyle w:val="NoSpacing"/>
        <w:jc w:val="both"/>
        <w:rPr>
          <w:rFonts w:ascii="Times New Roman" w:hAnsi="Times New Roman" w:cs="Times New Roman"/>
          <w:sz w:val="20"/>
        </w:rPr>
      </w:pPr>
    </w:p>
    <w:p w14:paraId="0A3BBE15" w14:textId="3D062053" w:rsidR="00FD6C5B" w:rsidRPr="001B0D49" w:rsidRDefault="00FD6C5B" w:rsidP="000154A4">
      <w:pPr>
        <w:spacing w:after="0" w:line="240" w:lineRule="auto"/>
        <w:contextualSpacing/>
        <w:mirrorIndents/>
        <w:jc w:val="both"/>
        <w:rPr>
          <w:rFonts w:ascii="Times New Roman" w:hAnsi="Times New Roman" w:cs="Times New Roman"/>
          <w:sz w:val="20"/>
          <w:szCs w:val="20"/>
        </w:rPr>
      </w:pPr>
      <w:r w:rsidRPr="00975A6E">
        <w:rPr>
          <w:rFonts w:ascii="Times New Roman" w:hAnsi="Times New Roman" w:cs="Times New Roman"/>
          <w:b/>
          <w:color w:val="FF0000"/>
          <w:sz w:val="20"/>
          <w:szCs w:val="20"/>
        </w:rPr>
        <w:t>*C</w:t>
      </w:r>
      <w:r w:rsidRPr="00975A6E">
        <w:rPr>
          <w:rFonts w:ascii="Times New Roman" w:hAnsi="Times New Roman" w:cs="Times New Roman"/>
          <w:b/>
          <w:sz w:val="20"/>
          <w:szCs w:val="20"/>
        </w:rPr>
        <w:t xml:space="preserve">orresponding </w:t>
      </w:r>
      <w:r w:rsidR="00355B94">
        <w:rPr>
          <w:rFonts w:ascii="Times New Roman" w:hAnsi="Times New Roman" w:cs="Times New Roman"/>
          <w:b/>
          <w:sz w:val="20"/>
          <w:szCs w:val="20"/>
        </w:rPr>
        <w:t>A</w:t>
      </w:r>
      <w:r w:rsidRPr="00975A6E">
        <w:rPr>
          <w:rFonts w:ascii="Times New Roman" w:hAnsi="Times New Roman" w:cs="Times New Roman"/>
          <w:b/>
          <w:sz w:val="20"/>
          <w:szCs w:val="20"/>
        </w:rPr>
        <w:t>uthor</w:t>
      </w:r>
      <w:r w:rsidRPr="00975A6E">
        <w:rPr>
          <w:rFonts w:ascii="Times New Roman" w:hAnsi="Times New Roman" w:cs="Times New Roman"/>
          <w:sz w:val="20"/>
          <w:szCs w:val="20"/>
        </w:rPr>
        <w:t>:</w:t>
      </w:r>
      <w:r w:rsidRPr="00CE5B05">
        <w:t xml:space="preserve"> </w:t>
      </w:r>
      <w:r w:rsidR="00C36DAC" w:rsidRPr="00C36DAC">
        <w:rPr>
          <w:rFonts w:ascii="Times New Roman" w:hAnsi="Times New Roman" w:cs="Times New Roman"/>
          <w:sz w:val="20"/>
          <w:szCs w:val="20"/>
        </w:rPr>
        <w:t>Stanley Kim</w:t>
      </w:r>
      <w:r w:rsidR="00C36DAC">
        <w:rPr>
          <w:rFonts w:ascii="Times New Roman" w:hAnsi="Times New Roman" w:cs="Times New Roman"/>
          <w:sz w:val="20"/>
          <w:szCs w:val="20"/>
        </w:rPr>
        <w:t>,</w:t>
      </w:r>
      <w:r w:rsidR="00C36DAC" w:rsidRPr="00C36DAC">
        <w:t xml:space="preserve"> </w:t>
      </w:r>
      <w:r w:rsidR="00C36DAC" w:rsidRPr="00C36DAC">
        <w:rPr>
          <w:rFonts w:ascii="Times New Roman" w:hAnsi="Times New Roman" w:cs="Times New Roman"/>
          <w:sz w:val="20"/>
          <w:szCs w:val="20"/>
        </w:rPr>
        <w:t xml:space="preserve">Division of </w:t>
      </w:r>
      <w:proofErr w:type="spellStart"/>
      <w:r w:rsidR="00707D06" w:rsidRPr="00C36DAC">
        <w:rPr>
          <w:rFonts w:ascii="Times New Roman" w:hAnsi="Times New Roman" w:cs="Times New Roman"/>
          <w:sz w:val="20"/>
          <w:szCs w:val="20"/>
        </w:rPr>
        <w:t>Hematology</w:t>
      </w:r>
      <w:proofErr w:type="spellEnd"/>
      <w:r w:rsidR="00707D06" w:rsidRPr="00C36DAC">
        <w:rPr>
          <w:rFonts w:ascii="Times New Roman" w:hAnsi="Times New Roman" w:cs="Times New Roman"/>
          <w:sz w:val="20"/>
          <w:szCs w:val="20"/>
        </w:rPr>
        <w:t>-Medical Oncology</w:t>
      </w:r>
      <w:r w:rsidR="00C36DAC" w:rsidRPr="00C36DAC">
        <w:rPr>
          <w:rFonts w:ascii="Times New Roman" w:hAnsi="Times New Roman" w:cs="Times New Roman"/>
          <w:sz w:val="20"/>
          <w:szCs w:val="20"/>
        </w:rPr>
        <w:t xml:space="preserve">, </w:t>
      </w:r>
      <w:r w:rsidR="00707D06" w:rsidRPr="00C36DAC">
        <w:rPr>
          <w:rFonts w:ascii="Times New Roman" w:hAnsi="Times New Roman" w:cs="Times New Roman"/>
          <w:sz w:val="20"/>
          <w:szCs w:val="20"/>
        </w:rPr>
        <w:t>Department of Medicine</w:t>
      </w:r>
      <w:r w:rsidR="00C36DAC" w:rsidRPr="00C36DAC">
        <w:rPr>
          <w:rFonts w:ascii="Times New Roman" w:hAnsi="Times New Roman" w:cs="Times New Roman"/>
          <w:sz w:val="20"/>
          <w:szCs w:val="20"/>
        </w:rPr>
        <w:t>, Kern Medical, Bakersfield, CA, USA</w:t>
      </w:r>
      <w:r w:rsidR="00355B94">
        <w:rPr>
          <w:rFonts w:ascii="Times New Roman" w:hAnsi="Times New Roman" w:cs="Times New Roman"/>
          <w:sz w:val="20"/>
          <w:szCs w:val="20"/>
        </w:rPr>
        <w:t>. Mail Id: example@gamil.com</w:t>
      </w:r>
    </w:p>
    <w:p w14:paraId="1DDF692C" w14:textId="77777777" w:rsidR="00FD6C5B" w:rsidRPr="00D21C35" w:rsidRDefault="00FD6C5B" w:rsidP="000154A4">
      <w:pPr>
        <w:spacing w:after="0" w:line="240" w:lineRule="auto"/>
        <w:jc w:val="both"/>
        <w:rPr>
          <w:rFonts w:ascii="Times New Roman" w:hAnsi="Times New Roman" w:cs="Times New Roman"/>
          <w:sz w:val="20"/>
        </w:rPr>
      </w:pPr>
    </w:p>
    <w:p w14:paraId="1ED277E1" w14:textId="77777777" w:rsidR="00FD6C5B" w:rsidRDefault="00FD6C5B" w:rsidP="000154A4">
      <w:pPr>
        <w:spacing w:after="0" w:line="240" w:lineRule="auto"/>
        <w:jc w:val="both"/>
        <w:rPr>
          <w:rFonts w:ascii="Times New Roman" w:hAnsi="Times New Roman" w:cs="Times New Roman"/>
          <w:sz w:val="20"/>
        </w:rPr>
      </w:pPr>
      <w:r>
        <w:rPr>
          <w:rFonts w:ascii="Times New Roman" w:hAnsi="Times New Roman" w:cs="Times New Roman"/>
          <w:b/>
        </w:rPr>
        <w:t>Abstract</w:t>
      </w:r>
      <w:r>
        <w:rPr>
          <w:rFonts w:ascii="Times New Roman" w:hAnsi="Times New Roman" w:cs="Times New Roman"/>
          <w:b/>
        </w:rPr>
        <w:br/>
      </w:r>
    </w:p>
    <w:p w14:paraId="0B4DC3BD" w14:textId="77777777" w:rsidR="00D77A92" w:rsidRPr="00D77A92" w:rsidRDefault="00D77A92" w:rsidP="000154A4">
      <w:pPr>
        <w:spacing w:after="0" w:line="240" w:lineRule="auto"/>
        <w:jc w:val="both"/>
        <w:rPr>
          <w:rFonts w:ascii="Times New Roman" w:hAnsi="Times New Roman" w:cs="Times New Roman"/>
          <w:sz w:val="20"/>
        </w:rPr>
      </w:pPr>
      <w:r w:rsidRPr="00D77A92">
        <w:rPr>
          <w:rFonts w:ascii="Times New Roman" w:hAnsi="Times New Roman" w:cs="Times New Roman"/>
          <w:sz w:val="20"/>
        </w:rPr>
        <w:t xml:space="preserve">Agranulocytosis induced by antibiotics is a life-threatening, </w:t>
      </w:r>
      <w:proofErr w:type="spellStart"/>
      <w:r w:rsidRPr="00D77A92">
        <w:rPr>
          <w:rFonts w:ascii="Times New Roman" w:hAnsi="Times New Roman" w:cs="Times New Roman"/>
          <w:sz w:val="20"/>
        </w:rPr>
        <w:t>indiosyncratic</w:t>
      </w:r>
      <w:proofErr w:type="spellEnd"/>
      <w:r w:rsidRPr="00D77A92">
        <w:rPr>
          <w:rFonts w:ascii="Times New Roman" w:hAnsi="Times New Roman" w:cs="Times New Roman"/>
          <w:sz w:val="20"/>
        </w:rPr>
        <w:t xml:space="preserve"> drug reaction. It may be asymptomatic, but is often accompanied by fever, chill, s</w:t>
      </w:r>
      <w:r>
        <w:rPr>
          <w:rFonts w:ascii="Times New Roman" w:hAnsi="Times New Roman" w:cs="Times New Roman"/>
          <w:sz w:val="20"/>
        </w:rPr>
        <w:t xml:space="preserve">ore throat and mouth ulcers. We </w:t>
      </w:r>
      <w:r w:rsidRPr="00D77A92">
        <w:rPr>
          <w:rFonts w:ascii="Times New Roman" w:hAnsi="Times New Roman" w:cs="Times New Roman"/>
          <w:sz w:val="20"/>
        </w:rPr>
        <w:t>present a patient with invasive otitis externa and skull base osteomyelitis who was receiving long-term piperacillin-tazobactam at home and developed agranulocytosis 22 days after the initiation. The only symptom was severe body aches, which prompted her to visit the hospital emergency room where a complete blood count (CBC) revealed agranulocytosis.</w:t>
      </w:r>
      <w:r>
        <w:rPr>
          <w:rFonts w:ascii="Times New Roman" w:hAnsi="Times New Roman" w:cs="Times New Roman"/>
          <w:sz w:val="20"/>
        </w:rPr>
        <w:t xml:space="preserve"> Although </w:t>
      </w:r>
      <w:r w:rsidRPr="00D77A92">
        <w:rPr>
          <w:rFonts w:ascii="Times New Roman" w:hAnsi="Times New Roman" w:cs="Times New Roman"/>
          <w:sz w:val="20"/>
        </w:rPr>
        <w:t xml:space="preserve">home-based outpatient parenteral antibiotic therapy (OPAT) </w:t>
      </w:r>
      <w:r>
        <w:rPr>
          <w:rFonts w:ascii="Times New Roman" w:hAnsi="Times New Roman" w:cs="Times New Roman"/>
          <w:sz w:val="20"/>
        </w:rPr>
        <w:t xml:space="preserve">is increasingly utilized, close </w:t>
      </w:r>
      <w:r w:rsidRPr="00D77A92">
        <w:rPr>
          <w:rFonts w:ascii="Times New Roman" w:hAnsi="Times New Roman" w:cs="Times New Roman"/>
          <w:sz w:val="20"/>
        </w:rPr>
        <w:t>monitoring akin to hospital care is logistically unfeasible in the outpatient setting, which makes early identification of serious adverse complications such as agranulocytosis difficult.</w:t>
      </w:r>
    </w:p>
    <w:p w14:paraId="415AEAB3" w14:textId="77777777" w:rsidR="00D77A92" w:rsidRPr="00D77A92" w:rsidRDefault="00D77A92" w:rsidP="000154A4">
      <w:pPr>
        <w:spacing w:after="0" w:line="240" w:lineRule="auto"/>
        <w:jc w:val="both"/>
        <w:rPr>
          <w:rFonts w:ascii="Times New Roman" w:hAnsi="Times New Roman" w:cs="Times New Roman"/>
          <w:sz w:val="20"/>
        </w:rPr>
      </w:pPr>
    </w:p>
    <w:p w14:paraId="57EAA1FA" w14:textId="77777777" w:rsidR="00D77A92" w:rsidRDefault="00D77A92" w:rsidP="000154A4">
      <w:pPr>
        <w:spacing w:after="0" w:line="240" w:lineRule="auto"/>
        <w:jc w:val="both"/>
        <w:rPr>
          <w:rFonts w:ascii="Times New Roman" w:hAnsi="Times New Roman" w:cs="Times New Roman"/>
          <w:sz w:val="20"/>
        </w:rPr>
      </w:pPr>
      <w:r w:rsidRPr="00D77A92">
        <w:rPr>
          <w:rFonts w:ascii="Times New Roman" w:hAnsi="Times New Roman" w:cs="Times New Roman"/>
          <w:b/>
        </w:rPr>
        <w:t>Keywords:</w:t>
      </w:r>
      <w:r w:rsidRPr="00D77A92">
        <w:rPr>
          <w:rFonts w:ascii="Times New Roman" w:hAnsi="Times New Roman" w:cs="Times New Roman"/>
        </w:rPr>
        <w:t xml:space="preserve"> </w:t>
      </w:r>
      <w:r>
        <w:rPr>
          <w:rFonts w:ascii="Times New Roman" w:hAnsi="Times New Roman" w:cs="Times New Roman"/>
          <w:sz w:val="20"/>
        </w:rPr>
        <w:t>Agranulocytosis; Piperacillin-Tazobactam;</w:t>
      </w:r>
      <w:r w:rsidRPr="00D77A92">
        <w:rPr>
          <w:rFonts w:ascii="Times New Roman" w:hAnsi="Times New Roman" w:cs="Times New Roman"/>
          <w:sz w:val="20"/>
        </w:rPr>
        <w:t xml:space="preserve"> Outpati</w:t>
      </w:r>
      <w:r>
        <w:rPr>
          <w:rFonts w:ascii="Times New Roman" w:hAnsi="Times New Roman" w:cs="Times New Roman"/>
          <w:sz w:val="20"/>
        </w:rPr>
        <w:t>ent Parental Antibiotic Therapy; Atypical Symptom o</w:t>
      </w:r>
      <w:r w:rsidRPr="00D77A92">
        <w:rPr>
          <w:rFonts w:ascii="Times New Roman" w:hAnsi="Times New Roman" w:cs="Times New Roman"/>
          <w:sz w:val="20"/>
        </w:rPr>
        <w:t>f Agranulocytosis</w:t>
      </w:r>
      <w:r>
        <w:rPr>
          <w:rFonts w:ascii="Times New Roman" w:hAnsi="Times New Roman" w:cs="Times New Roman"/>
          <w:sz w:val="20"/>
        </w:rPr>
        <w:t>.</w:t>
      </w:r>
    </w:p>
    <w:p w14:paraId="5F54E290" w14:textId="77777777" w:rsidR="00D77A92" w:rsidRPr="00D77A92" w:rsidRDefault="00D77A92" w:rsidP="000154A4">
      <w:pPr>
        <w:spacing w:after="0" w:line="240" w:lineRule="auto"/>
        <w:jc w:val="both"/>
        <w:rPr>
          <w:rFonts w:ascii="Times New Roman" w:hAnsi="Times New Roman" w:cs="Times New Roman"/>
          <w:sz w:val="20"/>
        </w:rPr>
      </w:pPr>
    </w:p>
    <w:p w14:paraId="568499FC" w14:textId="77777777" w:rsidR="00D77A92" w:rsidRPr="00D77A92" w:rsidRDefault="00D77A92" w:rsidP="000154A4">
      <w:pPr>
        <w:spacing w:after="0" w:line="240" w:lineRule="auto"/>
        <w:jc w:val="both"/>
        <w:rPr>
          <w:rFonts w:ascii="Times New Roman" w:hAnsi="Times New Roman" w:cs="Times New Roman"/>
          <w:b/>
        </w:rPr>
      </w:pPr>
      <w:r w:rsidRPr="00D77A92">
        <w:rPr>
          <w:rFonts w:ascii="Times New Roman" w:hAnsi="Times New Roman" w:cs="Times New Roman"/>
          <w:b/>
        </w:rPr>
        <w:t>Introduction</w:t>
      </w:r>
    </w:p>
    <w:p w14:paraId="38143310" w14:textId="77777777" w:rsidR="00D77A92" w:rsidRPr="00D77A92" w:rsidRDefault="00D77A92" w:rsidP="000154A4">
      <w:pPr>
        <w:spacing w:after="0" w:line="240" w:lineRule="auto"/>
        <w:jc w:val="both"/>
        <w:rPr>
          <w:rFonts w:ascii="Times New Roman" w:hAnsi="Times New Roman" w:cs="Times New Roman"/>
          <w:sz w:val="20"/>
        </w:rPr>
      </w:pPr>
    </w:p>
    <w:p w14:paraId="79F7B078" w14:textId="77777777" w:rsidR="00D77A92" w:rsidRPr="00D77A92" w:rsidRDefault="00D77A92" w:rsidP="000154A4">
      <w:pPr>
        <w:spacing w:after="0" w:line="240" w:lineRule="auto"/>
        <w:jc w:val="both"/>
        <w:rPr>
          <w:rFonts w:ascii="Times New Roman" w:hAnsi="Times New Roman" w:cs="Times New Roman"/>
          <w:sz w:val="20"/>
        </w:rPr>
      </w:pPr>
      <w:r w:rsidRPr="00D77A92">
        <w:rPr>
          <w:rFonts w:ascii="Times New Roman" w:hAnsi="Times New Roman" w:cs="Times New Roman"/>
          <w:sz w:val="20"/>
        </w:rPr>
        <w:t>Agranulocytosis is a life-threatening condition characterized by an absolute neutrophil count (ANC) of less than 0.5 × 109 cells/L</w:t>
      </w:r>
      <w:r w:rsidRPr="00D77A92">
        <w:rPr>
          <w:rFonts w:ascii="Times New Roman" w:hAnsi="Times New Roman" w:cs="Times New Roman"/>
          <w:color w:val="FF0000"/>
          <w:sz w:val="20"/>
        </w:rPr>
        <w:t xml:space="preserve"> [1]</w:t>
      </w:r>
      <w:r w:rsidRPr="00D77A92">
        <w:rPr>
          <w:rFonts w:ascii="Times New Roman" w:hAnsi="Times New Roman" w:cs="Times New Roman"/>
          <w:sz w:val="20"/>
        </w:rPr>
        <w:t>. Most agranulocytosis ca</w:t>
      </w:r>
      <w:r>
        <w:rPr>
          <w:rFonts w:ascii="Times New Roman" w:hAnsi="Times New Roman" w:cs="Times New Roman"/>
          <w:sz w:val="20"/>
        </w:rPr>
        <w:t xml:space="preserve">ses are acquired, predominately </w:t>
      </w:r>
      <w:r w:rsidRPr="00D77A92">
        <w:rPr>
          <w:rFonts w:ascii="Times New Roman" w:hAnsi="Times New Roman" w:cs="Times New Roman"/>
          <w:sz w:val="20"/>
        </w:rPr>
        <w:t>due to medication use, but also may be due to chemicals, autoimmune conditions</w:t>
      </w:r>
      <w:r>
        <w:rPr>
          <w:rFonts w:ascii="Times New Roman" w:hAnsi="Times New Roman" w:cs="Times New Roman"/>
          <w:sz w:val="20"/>
        </w:rPr>
        <w:t xml:space="preserve">, and infectious </w:t>
      </w:r>
      <w:proofErr w:type="spellStart"/>
      <w:r>
        <w:rPr>
          <w:rFonts w:ascii="Times New Roman" w:hAnsi="Times New Roman" w:cs="Times New Roman"/>
          <w:sz w:val="20"/>
        </w:rPr>
        <w:t>etiologies</w:t>
      </w:r>
      <w:proofErr w:type="spellEnd"/>
      <w:r w:rsidRPr="00D77A92">
        <w:rPr>
          <w:rFonts w:ascii="Times New Roman" w:hAnsi="Times New Roman" w:cs="Times New Roman"/>
          <w:color w:val="FF0000"/>
          <w:sz w:val="20"/>
        </w:rPr>
        <w:t xml:space="preserve"> [1,2]</w:t>
      </w:r>
      <w:r w:rsidRPr="00D77A92">
        <w:rPr>
          <w:rFonts w:ascii="Times New Roman" w:hAnsi="Times New Roman" w:cs="Times New Roman"/>
          <w:sz w:val="20"/>
        </w:rPr>
        <w:t>. Medication-induced agranulocytosis re</w:t>
      </w:r>
      <w:r>
        <w:rPr>
          <w:rFonts w:ascii="Times New Roman" w:hAnsi="Times New Roman" w:cs="Times New Roman"/>
          <w:sz w:val="20"/>
        </w:rPr>
        <w:t xml:space="preserve">sults from cytotoxic effects or </w:t>
      </w:r>
      <w:r w:rsidRPr="00D77A92">
        <w:rPr>
          <w:rFonts w:ascii="Times New Roman" w:hAnsi="Times New Roman" w:cs="Times New Roman"/>
          <w:sz w:val="20"/>
        </w:rPr>
        <w:t>idiosyncratic reactions. Cytotoxic effects involve direct damage to myeloid precursors through metabolites and chemically reactive intermediates such as t</w:t>
      </w:r>
      <w:r>
        <w:rPr>
          <w:rFonts w:ascii="Times New Roman" w:hAnsi="Times New Roman" w:cs="Times New Roman"/>
          <w:sz w:val="20"/>
        </w:rPr>
        <w:t xml:space="preserve">hose observed with bioactivated </w:t>
      </w:r>
      <w:r w:rsidRPr="00D77A92">
        <w:rPr>
          <w:rFonts w:ascii="Times New Roman" w:hAnsi="Times New Roman" w:cs="Times New Roman"/>
          <w:sz w:val="20"/>
        </w:rPr>
        <w:t xml:space="preserve">cytotoxic metabolites of clozapine </w:t>
      </w:r>
      <w:r w:rsidRPr="00D77A92">
        <w:rPr>
          <w:rFonts w:ascii="Times New Roman" w:hAnsi="Times New Roman" w:cs="Times New Roman"/>
          <w:color w:val="FF0000"/>
          <w:sz w:val="20"/>
        </w:rPr>
        <w:t>[4]</w:t>
      </w:r>
      <w:r w:rsidRPr="00D77A92">
        <w:rPr>
          <w:rFonts w:ascii="Times New Roman" w:hAnsi="Times New Roman" w:cs="Times New Roman"/>
          <w:sz w:val="20"/>
        </w:rPr>
        <w:t>. Idiosyncratic drug-induced agranulocytosis occurs</w:t>
      </w:r>
      <w:r>
        <w:rPr>
          <w:rFonts w:ascii="Times New Roman" w:hAnsi="Times New Roman" w:cs="Times New Roman"/>
          <w:sz w:val="20"/>
        </w:rPr>
        <w:t xml:space="preserve"> </w:t>
      </w:r>
      <w:r w:rsidRPr="00D77A92">
        <w:rPr>
          <w:rFonts w:ascii="Times New Roman" w:hAnsi="Times New Roman" w:cs="Times New Roman"/>
          <w:sz w:val="20"/>
        </w:rPr>
        <w:t>unpredictably, is not dose dependent, and is probably immune-media</w:t>
      </w:r>
      <w:r>
        <w:rPr>
          <w:rFonts w:ascii="Times New Roman" w:hAnsi="Times New Roman" w:cs="Times New Roman"/>
          <w:sz w:val="20"/>
        </w:rPr>
        <w:t xml:space="preserve">ted </w:t>
      </w:r>
      <w:r w:rsidRPr="00D77A92">
        <w:rPr>
          <w:rFonts w:ascii="Times New Roman" w:hAnsi="Times New Roman" w:cs="Times New Roman"/>
          <w:color w:val="FF0000"/>
          <w:sz w:val="20"/>
        </w:rPr>
        <w:t>[1,4]</w:t>
      </w:r>
      <w:r w:rsidRPr="00D77A92">
        <w:rPr>
          <w:rFonts w:ascii="Times New Roman" w:hAnsi="Times New Roman" w:cs="Times New Roman"/>
          <w:sz w:val="20"/>
        </w:rPr>
        <w:t>. A recent study showed that antibiotic-induced neutropenia is not rare and that beta-lactam antibiotics are often implicated</w:t>
      </w:r>
      <w:r w:rsidRPr="00D77A92">
        <w:rPr>
          <w:rFonts w:ascii="Times New Roman" w:hAnsi="Times New Roman" w:cs="Times New Roman"/>
          <w:color w:val="FF0000"/>
          <w:sz w:val="20"/>
        </w:rPr>
        <w:t xml:space="preserve"> [6]</w:t>
      </w:r>
      <w:r w:rsidRPr="00D77A92">
        <w:rPr>
          <w:rFonts w:ascii="Times New Roman" w:hAnsi="Times New Roman" w:cs="Times New Roman"/>
          <w:sz w:val="20"/>
        </w:rPr>
        <w:t>. The typical symptom triad is fever, so</w:t>
      </w:r>
      <w:r>
        <w:rPr>
          <w:rFonts w:ascii="Times New Roman" w:hAnsi="Times New Roman" w:cs="Times New Roman"/>
          <w:sz w:val="20"/>
        </w:rPr>
        <w:t>re throat, and mouth ulcers [</w:t>
      </w:r>
      <w:r w:rsidRPr="00D77A92">
        <w:rPr>
          <w:rFonts w:ascii="Times New Roman" w:hAnsi="Times New Roman" w:cs="Times New Roman"/>
          <w:color w:val="FF0000"/>
          <w:sz w:val="20"/>
        </w:rPr>
        <w:t>1,3]</w:t>
      </w:r>
      <w:r w:rsidRPr="00D77A92">
        <w:rPr>
          <w:rFonts w:ascii="Times New Roman" w:hAnsi="Times New Roman" w:cs="Times New Roman"/>
          <w:sz w:val="20"/>
        </w:rPr>
        <w:t xml:space="preserve">. Early clinical detection of agranulocytosis may be difficult as patients may be asymptomatic or have minimal symptoms. Piperacillin-tazobactam is a beta-lactam and beta-lactamase inhibitor with broad spectrum antibacterial activity that is commonly used in the setting of gram-positive and gram-negative aerobic and anaerobic bacterial infections </w:t>
      </w:r>
      <w:r>
        <w:rPr>
          <w:rFonts w:ascii="Times New Roman" w:hAnsi="Times New Roman" w:cs="Times New Roman"/>
          <w:sz w:val="20"/>
        </w:rPr>
        <w:t xml:space="preserve">and is generally safe with good tolerability </w:t>
      </w:r>
      <w:r w:rsidRPr="00D77A92">
        <w:rPr>
          <w:rFonts w:ascii="Times New Roman" w:hAnsi="Times New Roman" w:cs="Times New Roman"/>
          <w:color w:val="FF0000"/>
          <w:sz w:val="20"/>
        </w:rPr>
        <w:t>[7,8]</w:t>
      </w:r>
      <w:r w:rsidRPr="00D77A92">
        <w:rPr>
          <w:rFonts w:ascii="Times New Roman" w:hAnsi="Times New Roman" w:cs="Times New Roman"/>
          <w:sz w:val="20"/>
        </w:rPr>
        <w:t>. In this case report, we present a unique case of agranulocyt</w:t>
      </w:r>
      <w:r>
        <w:rPr>
          <w:rFonts w:ascii="Times New Roman" w:hAnsi="Times New Roman" w:cs="Times New Roman"/>
          <w:sz w:val="20"/>
        </w:rPr>
        <w:t xml:space="preserve">osis attributed to piperacillin </w:t>
      </w:r>
      <w:r w:rsidRPr="00D77A92">
        <w:rPr>
          <w:rFonts w:ascii="Times New Roman" w:hAnsi="Times New Roman" w:cs="Times New Roman"/>
          <w:sz w:val="20"/>
        </w:rPr>
        <w:t>tazobactam in which the patient presented with the atypical single symptom of severe body aches.</w:t>
      </w:r>
    </w:p>
    <w:p w14:paraId="2E39EC9F" w14:textId="77777777" w:rsidR="00D77A92" w:rsidRPr="00D77A92" w:rsidRDefault="00D77A92" w:rsidP="000154A4">
      <w:pPr>
        <w:spacing w:after="0" w:line="240" w:lineRule="auto"/>
        <w:jc w:val="both"/>
        <w:rPr>
          <w:rFonts w:ascii="Times New Roman" w:hAnsi="Times New Roman" w:cs="Times New Roman"/>
          <w:sz w:val="20"/>
        </w:rPr>
      </w:pPr>
    </w:p>
    <w:p w14:paraId="7F376181" w14:textId="77777777" w:rsidR="00D77A92" w:rsidRPr="00D77A92" w:rsidRDefault="00D77A92" w:rsidP="000154A4">
      <w:pPr>
        <w:spacing w:after="0" w:line="240" w:lineRule="auto"/>
        <w:jc w:val="both"/>
        <w:rPr>
          <w:rFonts w:ascii="Times New Roman" w:hAnsi="Times New Roman" w:cs="Times New Roman"/>
          <w:b/>
        </w:rPr>
      </w:pPr>
      <w:r w:rsidRPr="00D77A92">
        <w:rPr>
          <w:rFonts w:ascii="Times New Roman" w:hAnsi="Times New Roman" w:cs="Times New Roman"/>
          <w:b/>
        </w:rPr>
        <w:t>Case Presentation</w:t>
      </w:r>
    </w:p>
    <w:p w14:paraId="0AA49897" w14:textId="77777777" w:rsidR="00D77A92" w:rsidRPr="00D77A92" w:rsidRDefault="00D77A92" w:rsidP="000154A4">
      <w:pPr>
        <w:spacing w:after="0" w:line="240" w:lineRule="auto"/>
        <w:jc w:val="both"/>
        <w:rPr>
          <w:rFonts w:ascii="Times New Roman" w:hAnsi="Times New Roman" w:cs="Times New Roman"/>
          <w:sz w:val="20"/>
        </w:rPr>
      </w:pPr>
    </w:p>
    <w:p w14:paraId="677E7CBE" w14:textId="77777777" w:rsidR="00D77A92" w:rsidRDefault="00D77A92" w:rsidP="000154A4">
      <w:pPr>
        <w:spacing w:after="0" w:line="240" w:lineRule="auto"/>
        <w:jc w:val="both"/>
        <w:rPr>
          <w:rFonts w:ascii="Times New Roman" w:hAnsi="Times New Roman" w:cs="Times New Roman"/>
          <w:sz w:val="20"/>
        </w:rPr>
      </w:pPr>
      <w:r w:rsidRPr="00D77A92">
        <w:rPr>
          <w:rFonts w:ascii="Times New Roman" w:hAnsi="Times New Roman" w:cs="Times New Roman"/>
          <w:sz w:val="20"/>
        </w:rPr>
        <w:lastRenderedPageBreak/>
        <w:t xml:space="preserve">A 35-year-old woman initially developed pain and swelling of </w:t>
      </w:r>
      <w:r>
        <w:rPr>
          <w:rFonts w:ascii="Times New Roman" w:hAnsi="Times New Roman" w:cs="Times New Roman"/>
          <w:sz w:val="20"/>
        </w:rPr>
        <w:t xml:space="preserve">the right ear 2 months prior to </w:t>
      </w:r>
      <w:r w:rsidRPr="00D77A92">
        <w:rPr>
          <w:rFonts w:ascii="Times New Roman" w:hAnsi="Times New Roman" w:cs="Times New Roman"/>
          <w:sz w:val="20"/>
        </w:rPr>
        <w:t>admission. She had been treated with topical eardrops containing ciprofloxacin and clotrimazole as well as oral antibiotics including cephalexin, clindamyc</w:t>
      </w:r>
      <w:r>
        <w:rPr>
          <w:rFonts w:ascii="Times New Roman" w:hAnsi="Times New Roman" w:cs="Times New Roman"/>
          <w:sz w:val="20"/>
        </w:rPr>
        <w:t xml:space="preserve">in and amoxicillin, but without </w:t>
      </w:r>
      <w:r w:rsidRPr="00D77A92">
        <w:rPr>
          <w:rFonts w:ascii="Times New Roman" w:hAnsi="Times New Roman" w:cs="Times New Roman"/>
          <w:sz w:val="20"/>
        </w:rPr>
        <w:t xml:space="preserve">significant improvement. Past medical history includes obesity and Roux-en-Y gastric bypass surgery 5 years prior to admission. She had been taking bariatric vitamin supplementation until 1 month ago. Worsening pain prompted the patient to present to the emergency room (ER). CT scan showed complete opacification of the right external auditory canal, middle ear cavity and mastoid air cells with osseous destruction consistent with invasive otitis externa and skull base osteomyelitis. She was admitted and received intravenous (IV) vancomycin and piperacillin- tazobactam for 8 days during hospitalization. Several cultures </w:t>
      </w:r>
      <w:r>
        <w:rPr>
          <w:rFonts w:ascii="Times New Roman" w:hAnsi="Times New Roman" w:cs="Times New Roman"/>
          <w:sz w:val="20"/>
        </w:rPr>
        <w:t xml:space="preserve">of the ear discharge fluid were </w:t>
      </w:r>
      <w:r w:rsidRPr="00D77A92">
        <w:rPr>
          <w:rFonts w:ascii="Times New Roman" w:hAnsi="Times New Roman" w:cs="Times New Roman"/>
          <w:sz w:val="20"/>
        </w:rPr>
        <w:t>negative, presumably due to previous antibiotic therapy. The complete blood count (CBC) with differential counts were normal throughout the hospitalization. Her symptoms improved and an infectious disease consultant recommended 6 more weeks of IV piperacillin-tazobactam without vancomycin. After hospital discharge, she continued IV piperacillin-tazobactam, 3.375 g every 6 hours at home through a peripherally inserted central (PIC</w:t>
      </w:r>
      <w:r>
        <w:rPr>
          <w:rFonts w:ascii="Times New Roman" w:hAnsi="Times New Roman" w:cs="Times New Roman"/>
          <w:sz w:val="20"/>
        </w:rPr>
        <w:t xml:space="preserve">C) line. She was monitored with </w:t>
      </w:r>
      <w:r w:rsidRPr="00D77A92">
        <w:rPr>
          <w:rFonts w:ascii="Times New Roman" w:hAnsi="Times New Roman" w:cs="Times New Roman"/>
          <w:sz w:val="20"/>
        </w:rPr>
        <w:t>weekly CBC with differential and comprehensive metabolic panel (CMP) under the Outpatient Parenteral Antibiotic Therapy (OPAT) program of our institution. Fourteen days after the start of home IV antibiotic therapy (total 22 days including in-hospital therapy), she developed severe body aches, which occurred after injecting the antibiotic int</w:t>
      </w:r>
      <w:r>
        <w:rPr>
          <w:rFonts w:ascii="Times New Roman" w:hAnsi="Times New Roman" w:cs="Times New Roman"/>
          <w:sz w:val="20"/>
        </w:rPr>
        <w:t xml:space="preserve">o her PICC line. Therefore, she </w:t>
      </w:r>
      <w:r w:rsidRPr="00D77A92">
        <w:rPr>
          <w:rFonts w:ascii="Times New Roman" w:hAnsi="Times New Roman" w:cs="Times New Roman"/>
          <w:sz w:val="20"/>
        </w:rPr>
        <w:t>presented to the ER. She described it as ‘excruciating pai</w:t>
      </w:r>
      <w:r>
        <w:rPr>
          <w:rFonts w:ascii="Times New Roman" w:hAnsi="Times New Roman" w:cs="Times New Roman"/>
          <w:sz w:val="20"/>
        </w:rPr>
        <w:t xml:space="preserve">n all over the body’ but denied </w:t>
      </w:r>
      <w:r w:rsidRPr="00D77A92">
        <w:rPr>
          <w:rFonts w:ascii="Times New Roman" w:hAnsi="Times New Roman" w:cs="Times New Roman"/>
          <w:sz w:val="20"/>
        </w:rPr>
        <w:t xml:space="preserve">associated fever, sore throat, mouth ulcer, skin rash, or itching. The patient has no known drug allergies, including penicillin. In the ER, CBC revealed white blood cell (WBC) count of 3.0 x 109/L and ANC 0.1 x 109/L </w:t>
      </w:r>
      <w:r w:rsidRPr="00D77A92">
        <w:rPr>
          <w:rFonts w:ascii="Times New Roman" w:hAnsi="Times New Roman" w:cs="Times New Roman"/>
          <w:color w:val="FF0000"/>
          <w:sz w:val="20"/>
        </w:rPr>
        <w:t>(Table 1)</w:t>
      </w:r>
      <w:r w:rsidRPr="00D77A92">
        <w:rPr>
          <w:rFonts w:ascii="Times New Roman" w:hAnsi="Times New Roman" w:cs="Times New Roman"/>
          <w:sz w:val="20"/>
        </w:rPr>
        <w:t>. The manual differential cou</w:t>
      </w:r>
      <w:r>
        <w:rPr>
          <w:rFonts w:ascii="Times New Roman" w:hAnsi="Times New Roman" w:cs="Times New Roman"/>
          <w:sz w:val="20"/>
        </w:rPr>
        <w:t xml:space="preserve">nts demonstrated: 3% </w:t>
      </w:r>
      <w:r w:rsidRPr="00D77A92">
        <w:rPr>
          <w:rFonts w:ascii="Times New Roman" w:hAnsi="Times New Roman" w:cs="Times New Roman"/>
          <w:sz w:val="20"/>
        </w:rPr>
        <w:t xml:space="preserve">segmented neutrophils, 1% band neutrophils, 65% </w:t>
      </w:r>
      <w:r>
        <w:rPr>
          <w:rFonts w:ascii="Times New Roman" w:hAnsi="Times New Roman" w:cs="Times New Roman"/>
          <w:sz w:val="20"/>
        </w:rPr>
        <w:t xml:space="preserve">lymphocytes, 13% monocytes, 14% </w:t>
      </w:r>
      <w:r w:rsidRPr="00D77A92">
        <w:rPr>
          <w:rFonts w:ascii="Times New Roman" w:hAnsi="Times New Roman" w:cs="Times New Roman"/>
          <w:sz w:val="20"/>
        </w:rPr>
        <w:t xml:space="preserve">eosinophils, and 2% basophils. She was admitted to the hospital. The peripheral blood smear showed no granulocytes </w:t>
      </w:r>
      <w:r w:rsidRPr="00D77A92">
        <w:rPr>
          <w:rFonts w:ascii="Times New Roman" w:hAnsi="Times New Roman" w:cs="Times New Roman"/>
          <w:color w:val="FF0000"/>
          <w:sz w:val="20"/>
        </w:rPr>
        <w:t>(Figure 1)</w:t>
      </w:r>
      <w:r w:rsidRPr="00D77A92">
        <w:rPr>
          <w:rFonts w:ascii="Times New Roman" w:hAnsi="Times New Roman" w:cs="Times New Roman"/>
          <w:sz w:val="20"/>
        </w:rPr>
        <w:t xml:space="preserve">. The outpatient CBC done a day before this 2nd admission showed WBC 3.2 x 109/L with ANC 0.1 x 109/L but had not yet come to the attention of the OPAT team. The CBC of 1 week prior was normal with ANC 5.0 x 109/L. The complete metabolic panel results including renal and liver function tests were within normal limits. HIV 1,2 Combo serology was negative. The immunoglobulin (Ig) levels of </w:t>
      </w:r>
      <w:proofErr w:type="spellStart"/>
      <w:r w:rsidRPr="00D77A92">
        <w:rPr>
          <w:rFonts w:ascii="Times New Roman" w:hAnsi="Times New Roman" w:cs="Times New Roman"/>
          <w:sz w:val="20"/>
        </w:rPr>
        <w:t>IgE</w:t>
      </w:r>
      <w:proofErr w:type="spellEnd"/>
      <w:r w:rsidRPr="00D77A92">
        <w:rPr>
          <w:rFonts w:ascii="Times New Roman" w:hAnsi="Times New Roman" w:cs="Times New Roman"/>
          <w:sz w:val="20"/>
        </w:rPr>
        <w:t>, IgA, IgM, and IgG were normal. She had cold symptoms with chest congestion,</w:t>
      </w:r>
      <w:r>
        <w:rPr>
          <w:rFonts w:ascii="Times New Roman" w:hAnsi="Times New Roman" w:cs="Times New Roman"/>
          <w:sz w:val="20"/>
        </w:rPr>
        <w:t xml:space="preserve"> production of clear phlegm and </w:t>
      </w:r>
      <w:r w:rsidRPr="00D77A92">
        <w:rPr>
          <w:rFonts w:ascii="Times New Roman" w:hAnsi="Times New Roman" w:cs="Times New Roman"/>
          <w:sz w:val="20"/>
        </w:rPr>
        <w:t>occasional chilly sensation without fever since the previous hospitalization, which was 2 weeks prior to admission. Her 2 children had cold-like sympto</w:t>
      </w:r>
      <w:r>
        <w:rPr>
          <w:rFonts w:ascii="Times New Roman" w:hAnsi="Times New Roman" w:cs="Times New Roman"/>
          <w:sz w:val="20"/>
        </w:rPr>
        <w:t xml:space="preserve">ms of </w:t>
      </w:r>
      <w:proofErr w:type="spellStart"/>
      <w:r>
        <w:rPr>
          <w:rFonts w:ascii="Times New Roman" w:hAnsi="Times New Roman" w:cs="Times New Roman"/>
          <w:sz w:val="20"/>
        </w:rPr>
        <w:t>rhinorrhea</w:t>
      </w:r>
      <w:proofErr w:type="spellEnd"/>
      <w:r>
        <w:rPr>
          <w:rFonts w:ascii="Times New Roman" w:hAnsi="Times New Roman" w:cs="Times New Roman"/>
          <w:sz w:val="20"/>
        </w:rPr>
        <w:t xml:space="preserve"> and cough. The </w:t>
      </w:r>
      <w:r w:rsidRPr="00D77A92">
        <w:rPr>
          <w:rFonts w:ascii="Times New Roman" w:hAnsi="Times New Roman" w:cs="Times New Roman"/>
          <w:sz w:val="20"/>
        </w:rPr>
        <w:t>multiplex viral molecular testing from the th</w:t>
      </w:r>
      <w:r>
        <w:rPr>
          <w:rFonts w:ascii="Times New Roman" w:hAnsi="Times New Roman" w:cs="Times New Roman"/>
          <w:sz w:val="20"/>
        </w:rPr>
        <w:t xml:space="preserve">roat swab showed positive human </w:t>
      </w:r>
      <w:r w:rsidRPr="00D77A92">
        <w:rPr>
          <w:rFonts w:ascii="Times New Roman" w:hAnsi="Times New Roman" w:cs="Times New Roman"/>
          <w:sz w:val="20"/>
        </w:rPr>
        <w:t>rhinovirus/enterovirus. However, the chest X-ray was unremarkable without</w:t>
      </w:r>
      <w:r>
        <w:rPr>
          <w:rFonts w:ascii="Times New Roman" w:hAnsi="Times New Roman" w:cs="Times New Roman"/>
          <w:sz w:val="20"/>
        </w:rPr>
        <w:t xml:space="preserve"> acute cardiopulmonary disease.</w:t>
      </w:r>
    </w:p>
    <w:p w14:paraId="7A848573" w14:textId="77777777" w:rsidR="00D77A92" w:rsidRDefault="00D77A92" w:rsidP="000154A4">
      <w:pPr>
        <w:spacing w:after="0" w:line="240" w:lineRule="auto"/>
        <w:jc w:val="both"/>
        <w:rPr>
          <w:rFonts w:ascii="Times New Roman" w:hAnsi="Times New Roman" w:cs="Times New Roman"/>
          <w:sz w:val="20"/>
        </w:rPr>
      </w:pPr>
    </w:p>
    <w:p w14:paraId="4900735B" w14:textId="77777777" w:rsidR="00FC7FC5" w:rsidRDefault="00D77A92" w:rsidP="000154A4">
      <w:pPr>
        <w:spacing w:after="0" w:line="240" w:lineRule="auto"/>
        <w:jc w:val="both"/>
        <w:rPr>
          <w:rFonts w:ascii="Times New Roman" w:hAnsi="Times New Roman" w:cs="Times New Roman"/>
          <w:sz w:val="20"/>
        </w:rPr>
      </w:pPr>
      <w:r w:rsidRPr="00D77A92">
        <w:rPr>
          <w:rFonts w:ascii="Times New Roman" w:hAnsi="Times New Roman" w:cs="Times New Roman"/>
          <w:sz w:val="20"/>
        </w:rPr>
        <w:t>On the day (Day 1) of hospitalization, she received one dose of IV piperacillin-tazobactam, but she developed the same severe body pain. Immediately it was discontinued and switched to IV cefepime. Daily filgrastim 480 mcg (weight &gt; 60 kg) was s</w:t>
      </w:r>
      <w:r>
        <w:rPr>
          <w:rFonts w:ascii="Times New Roman" w:hAnsi="Times New Roman" w:cs="Times New Roman"/>
          <w:sz w:val="20"/>
        </w:rPr>
        <w:t xml:space="preserve">tarted subcutaneously. Morphine </w:t>
      </w:r>
      <w:proofErr w:type="spellStart"/>
      <w:r w:rsidRPr="00D77A92">
        <w:rPr>
          <w:rFonts w:ascii="Times New Roman" w:hAnsi="Times New Roman" w:cs="Times New Roman"/>
          <w:sz w:val="20"/>
        </w:rPr>
        <w:t>Sulfate</w:t>
      </w:r>
      <w:proofErr w:type="spellEnd"/>
      <w:r w:rsidRPr="00D77A92">
        <w:rPr>
          <w:rFonts w:ascii="Times New Roman" w:hAnsi="Times New Roman" w:cs="Times New Roman"/>
          <w:sz w:val="20"/>
        </w:rPr>
        <w:t xml:space="preserve"> 2 mg IV relieved the severe pain. On Day 2, ANC was still low at 0.2 x109/L, but she no longer required the morphine as the body ache subsided. On Day 3, ANC increased to 10.9 x109/L. The peripheral blood smear showed markedly increas</w:t>
      </w:r>
      <w:r>
        <w:rPr>
          <w:rFonts w:ascii="Times New Roman" w:hAnsi="Times New Roman" w:cs="Times New Roman"/>
          <w:sz w:val="20"/>
        </w:rPr>
        <w:t xml:space="preserve">ed granulocytes </w:t>
      </w:r>
      <w:r w:rsidRPr="00D77A92">
        <w:rPr>
          <w:rFonts w:ascii="Times New Roman" w:hAnsi="Times New Roman" w:cs="Times New Roman"/>
          <w:color w:val="FF0000"/>
          <w:sz w:val="20"/>
        </w:rPr>
        <w:t>(Figure 2)</w:t>
      </w:r>
      <w:r>
        <w:rPr>
          <w:rFonts w:ascii="Times New Roman" w:hAnsi="Times New Roman" w:cs="Times New Roman"/>
          <w:sz w:val="20"/>
        </w:rPr>
        <w:t xml:space="preserve">. The </w:t>
      </w:r>
      <w:r w:rsidRPr="00D77A92">
        <w:rPr>
          <w:rFonts w:ascii="Times New Roman" w:hAnsi="Times New Roman" w:cs="Times New Roman"/>
          <w:sz w:val="20"/>
        </w:rPr>
        <w:t xml:space="preserve">filgrastim was discontinued. On Day 4, WBC was 11.0 x 109/L and the manual differential count demonstrated: 64% segmented neutrophils, 1% bands, 27% lymphocytes, 4% monocytes, 4% eosinophils and 0% basophils. The ANC was measured 7.2 x109/L. The patient did not develop any </w:t>
      </w:r>
      <w:r w:rsidR="009016C5" w:rsidRPr="00D77A92">
        <w:rPr>
          <w:rFonts w:ascii="Times New Roman" w:hAnsi="Times New Roman" w:cs="Times New Roman"/>
          <w:sz w:val="20"/>
        </w:rPr>
        <w:t>side effects</w:t>
      </w:r>
      <w:r w:rsidRPr="00D77A92">
        <w:rPr>
          <w:rFonts w:ascii="Times New Roman" w:hAnsi="Times New Roman" w:cs="Times New Roman"/>
          <w:sz w:val="20"/>
        </w:rPr>
        <w:t xml:space="preserve"> with the cefepime and was subsequently discharged.</w:t>
      </w:r>
    </w:p>
    <w:p w14:paraId="31563729" w14:textId="77777777" w:rsidR="003D0E6D" w:rsidRDefault="003D0E6D" w:rsidP="000154A4">
      <w:pPr>
        <w:spacing w:after="0" w:line="240" w:lineRule="auto"/>
        <w:jc w:val="both"/>
        <w:rPr>
          <w:rFonts w:ascii="Times New Roman" w:hAnsi="Times New Roman" w:cs="Times New Roman"/>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281"/>
        <w:gridCol w:w="1281"/>
        <w:gridCol w:w="1196"/>
        <w:gridCol w:w="1281"/>
      </w:tblGrid>
      <w:tr w:rsidR="00707D06" w:rsidRPr="006B78E0" w14:paraId="2DF23B00" w14:textId="77777777" w:rsidTr="001E4551">
        <w:trPr>
          <w:trHeight w:val="470"/>
          <w:jc w:val="center"/>
        </w:trPr>
        <w:tc>
          <w:tcPr>
            <w:tcW w:w="0" w:type="auto"/>
            <w:shd w:val="clear" w:color="auto" w:fill="auto"/>
            <w:vAlign w:val="center"/>
            <w:hideMark/>
          </w:tcPr>
          <w:p w14:paraId="538EF636"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5"/>
                <w:sz w:val="20"/>
                <w:szCs w:val="20"/>
                <w:lang w:val="en-US" w:eastAsia="en-IN"/>
              </w:rPr>
              <w:t>Day</w:t>
            </w:r>
          </w:p>
        </w:tc>
        <w:tc>
          <w:tcPr>
            <w:tcW w:w="0" w:type="auto"/>
            <w:shd w:val="clear" w:color="auto" w:fill="auto"/>
            <w:vAlign w:val="center"/>
            <w:hideMark/>
          </w:tcPr>
          <w:p w14:paraId="2E88590C"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5"/>
                <w:sz w:val="20"/>
                <w:szCs w:val="20"/>
                <w:lang w:val="en-US" w:eastAsia="en-IN"/>
              </w:rPr>
              <w:t>WBC</w:t>
            </w:r>
          </w:p>
          <w:p w14:paraId="3FCCFC9F"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z w:val="20"/>
                <w:szCs w:val="20"/>
                <w:lang w:val="en-US" w:eastAsia="en-IN"/>
              </w:rPr>
              <w:t>(</w:t>
            </w:r>
            <w:proofErr w:type="gramStart"/>
            <w:r w:rsidRPr="006B78E0">
              <w:rPr>
                <w:rFonts w:ascii="Times New Roman" w:eastAsia="Times New Roman" w:hAnsi="Times New Roman" w:cs="Times New Roman"/>
                <w:color w:val="000000"/>
                <w:sz w:val="20"/>
                <w:szCs w:val="20"/>
                <w:lang w:val="en-US" w:eastAsia="en-IN"/>
              </w:rPr>
              <w:t>cell</w:t>
            </w:r>
            <w:proofErr w:type="gramEnd"/>
            <w:r w:rsidRPr="006B78E0">
              <w:rPr>
                <w:rFonts w:ascii="Times New Roman" w:eastAsia="Times New Roman" w:hAnsi="Times New Roman" w:cs="Times New Roman"/>
                <w:color w:val="000000"/>
                <w:sz w:val="20"/>
                <w:szCs w:val="20"/>
                <w:lang w:val="en-US" w:eastAsia="en-IN"/>
              </w:rPr>
              <w:t xml:space="preserve"> x 10</w:t>
            </w:r>
            <w:r w:rsidRPr="006B78E0">
              <w:rPr>
                <w:rFonts w:ascii="Times New Roman" w:eastAsia="Times New Roman" w:hAnsi="Times New Roman" w:cs="Times New Roman"/>
                <w:color w:val="000000"/>
                <w:sz w:val="20"/>
                <w:szCs w:val="20"/>
                <w:vertAlign w:val="superscript"/>
                <w:lang w:val="en-US" w:eastAsia="en-IN"/>
              </w:rPr>
              <w:t>9</w:t>
            </w:r>
            <w:r w:rsidRPr="006B78E0">
              <w:rPr>
                <w:rFonts w:ascii="Times New Roman" w:eastAsia="Times New Roman" w:hAnsi="Times New Roman" w:cs="Times New Roman"/>
                <w:color w:val="000000"/>
                <w:sz w:val="20"/>
                <w:szCs w:val="20"/>
                <w:lang w:val="en-US" w:eastAsia="en-IN"/>
              </w:rPr>
              <w:t>/L)</w:t>
            </w:r>
          </w:p>
        </w:tc>
        <w:tc>
          <w:tcPr>
            <w:tcW w:w="0" w:type="auto"/>
            <w:shd w:val="clear" w:color="auto" w:fill="auto"/>
            <w:vAlign w:val="center"/>
            <w:hideMark/>
          </w:tcPr>
          <w:p w14:paraId="360442BE"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5"/>
                <w:sz w:val="20"/>
                <w:szCs w:val="20"/>
                <w:lang w:val="en-US" w:eastAsia="en-IN"/>
              </w:rPr>
              <w:t>ANC</w:t>
            </w:r>
          </w:p>
          <w:p w14:paraId="5C814AD7"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z w:val="20"/>
                <w:szCs w:val="20"/>
                <w:lang w:val="en-US" w:eastAsia="en-IN"/>
              </w:rPr>
              <w:t>(</w:t>
            </w:r>
            <w:proofErr w:type="gramStart"/>
            <w:r w:rsidRPr="006B78E0">
              <w:rPr>
                <w:rFonts w:ascii="Times New Roman" w:eastAsia="Times New Roman" w:hAnsi="Times New Roman" w:cs="Times New Roman"/>
                <w:color w:val="000000"/>
                <w:sz w:val="20"/>
                <w:szCs w:val="20"/>
                <w:lang w:val="en-US" w:eastAsia="en-IN"/>
              </w:rPr>
              <w:t>cell</w:t>
            </w:r>
            <w:proofErr w:type="gramEnd"/>
            <w:r w:rsidRPr="006B78E0">
              <w:rPr>
                <w:rFonts w:ascii="Times New Roman" w:eastAsia="Times New Roman" w:hAnsi="Times New Roman" w:cs="Times New Roman"/>
                <w:color w:val="000000"/>
                <w:sz w:val="20"/>
                <w:szCs w:val="20"/>
                <w:lang w:val="en-US" w:eastAsia="en-IN"/>
              </w:rPr>
              <w:t xml:space="preserve"> x 10</w:t>
            </w:r>
            <w:r w:rsidRPr="006B78E0">
              <w:rPr>
                <w:rFonts w:ascii="Times New Roman" w:eastAsia="Times New Roman" w:hAnsi="Times New Roman" w:cs="Times New Roman"/>
                <w:color w:val="000000"/>
                <w:sz w:val="20"/>
                <w:szCs w:val="20"/>
                <w:vertAlign w:val="superscript"/>
                <w:lang w:val="en-US" w:eastAsia="en-IN"/>
              </w:rPr>
              <w:t>9</w:t>
            </w:r>
            <w:r w:rsidRPr="006B78E0">
              <w:rPr>
                <w:rFonts w:ascii="Times New Roman" w:eastAsia="Times New Roman" w:hAnsi="Times New Roman" w:cs="Times New Roman"/>
                <w:color w:val="000000"/>
                <w:sz w:val="20"/>
                <w:szCs w:val="20"/>
                <w:lang w:val="en-US" w:eastAsia="en-IN"/>
              </w:rPr>
              <w:t>/L)</w:t>
            </w:r>
          </w:p>
        </w:tc>
        <w:tc>
          <w:tcPr>
            <w:tcW w:w="0" w:type="auto"/>
            <w:shd w:val="clear" w:color="auto" w:fill="auto"/>
            <w:vAlign w:val="center"/>
            <w:hideMark/>
          </w:tcPr>
          <w:p w14:paraId="6720EF72"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2"/>
                <w:sz w:val="20"/>
                <w:szCs w:val="20"/>
                <w:lang w:val="en-US" w:eastAsia="en-IN"/>
              </w:rPr>
              <w:t>Hemoglobin</w:t>
            </w:r>
          </w:p>
          <w:p w14:paraId="758EE458"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2"/>
                <w:sz w:val="20"/>
                <w:szCs w:val="20"/>
                <w:lang w:val="en-US" w:eastAsia="en-IN"/>
              </w:rPr>
              <w:t>(g/dL)</w:t>
            </w:r>
          </w:p>
        </w:tc>
        <w:tc>
          <w:tcPr>
            <w:tcW w:w="0" w:type="auto"/>
            <w:shd w:val="clear" w:color="auto" w:fill="auto"/>
            <w:vAlign w:val="center"/>
            <w:hideMark/>
          </w:tcPr>
          <w:p w14:paraId="05DAEE72"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2"/>
                <w:sz w:val="20"/>
                <w:szCs w:val="20"/>
                <w:lang w:val="en-US" w:eastAsia="en-IN"/>
              </w:rPr>
              <w:t>Platelet</w:t>
            </w:r>
          </w:p>
          <w:p w14:paraId="3AFA433C"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z w:val="20"/>
                <w:szCs w:val="20"/>
                <w:lang w:val="en-US" w:eastAsia="en-IN"/>
              </w:rPr>
              <w:t>(</w:t>
            </w:r>
            <w:proofErr w:type="gramStart"/>
            <w:r w:rsidRPr="006B78E0">
              <w:rPr>
                <w:rFonts w:ascii="Times New Roman" w:eastAsia="Times New Roman" w:hAnsi="Times New Roman" w:cs="Times New Roman"/>
                <w:color w:val="000000"/>
                <w:sz w:val="20"/>
                <w:szCs w:val="20"/>
                <w:lang w:val="en-US" w:eastAsia="en-IN"/>
              </w:rPr>
              <w:t>cell</w:t>
            </w:r>
            <w:proofErr w:type="gramEnd"/>
            <w:r w:rsidRPr="006B78E0">
              <w:rPr>
                <w:rFonts w:ascii="Times New Roman" w:eastAsia="Times New Roman" w:hAnsi="Times New Roman" w:cs="Times New Roman"/>
                <w:color w:val="000000"/>
                <w:sz w:val="20"/>
                <w:szCs w:val="20"/>
                <w:lang w:val="en-US" w:eastAsia="en-IN"/>
              </w:rPr>
              <w:t xml:space="preserve"> x 10</w:t>
            </w:r>
            <w:r w:rsidRPr="006B78E0">
              <w:rPr>
                <w:rFonts w:ascii="Times New Roman" w:eastAsia="Times New Roman" w:hAnsi="Times New Roman" w:cs="Times New Roman"/>
                <w:color w:val="000000"/>
                <w:sz w:val="20"/>
                <w:szCs w:val="20"/>
                <w:vertAlign w:val="superscript"/>
                <w:lang w:val="en-US" w:eastAsia="en-IN"/>
              </w:rPr>
              <w:t>9</w:t>
            </w:r>
            <w:r w:rsidRPr="006B78E0">
              <w:rPr>
                <w:rFonts w:ascii="Times New Roman" w:eastAsia="Times New Roman" w:hAnsi="Times New Roman" w:cs="Times New Roman"/>
                <w:color w:val="000000"/>
                <w:sz w:val="20"/>
                <w:szCs w:val="20"/>
                <w:lang w:val="en-US" w:eastAsia="en-IN"/>
              </w:rPr>
              <w:t>/L)</w:t>
            </w:r>
          </w:p>
        </w:tc>
      </w:tr>
      <w:tr w:rsidR="00707D06" w:rsidRPr="006B78E0" w14:paraId="616CDFA6" w14:textId="77777777" w:rsidTr="001E4551">
        <w:trPr>
          <w:trHeight w:val="300"/>
          <w:jc w:val="center"/>
        </w:trPr>
        <w:tc>
          <w:tcPr>
            <w:tcW w:w="0" w:type="auto"/>
            <w:shd w:val="clear" w:color="auto" w:fill="auto"/>
            <w:vAlign w:val="center"/>
            <w:hideMark/>
          </w:tcPr>
          <w:p w14:paraId="40CE3F8C"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10"/>
                <w:sz w:val="20"/>
                <w:szCs w:val="20"/>
                <w:lang w:val="en-US" w:eastAsia="en-IN"/>
              </w:rPr>
              <w:t>1</w:t>
            </w:r>
          </w:p>
        </w:tc>
        <w:tc>
          <w:tcPr>
            <w:tcW w:w="0" w:type="auto"/>
            <w:shd w:val="clear" w:color="auto" w:fill="auto"/>
            <w:vAlign w:val="center"/>
            <w:hideMark/>
          </w:tcPr>
          <w:p w14:paraId="4368C1D0"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5"/>
                <w:sz w:val="20"/>
                <w:szCs w:val="20"/>
                <w:lang w:val="en-US" w:eastAsia="en-IN"/>
              </w:rPr>
              <w:t>3</w:t>
            </w:r>
          </w:p>
        </w:tc>
        <w:tc>
          <w:tcPr>
            <w:tcW w:w="0" w:type="auto"/>
            <w:shd w:val="clear" w:color="auto" w:fill="auto"/>
            <w:vAlign w:val="center"/>
            <w:hideMark/>
          </w:tcPr>
          <w:p w14:paraId="24E02E3E"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5"/>
                <w:sz w:val="20"/>
                <w:szCs w:val="20"/>
                <w:lang w:val="en-US" w:eastAsia="en-IN"/>
              </w:rPr>
              <w:t>0.1</w:t>
            </w:r>
          </w:p>
        </w:tc>
        <w:tc>
          <w:tcPr>
            <w:tcW w:w="0" w:type="auto"/>
            <w:shd w:val="clear" w:color="auto" w:fill="auto"/>
            <w:vAlign w:val="center"/>
            <w:hideMark/>
          </w:tcPr>
          <w:p w14:paraId="475AC6A8"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4"/>
                <w:sz w:val="20"/>
                <w:szCs w:val="20"/>
                <w:lang w:val="en-US" w:eastAsia="en-IN"/>
              </w:rPr>
              <w:t>13.1</w:t>
            </w:r>
          </w:p>
        </w:tc>
        <w:tc>
          <w:tcPr>
            <w:tcW w:w="0" w:type="auto"/>
            <w:shd w:val="clear" w:color="auto" w:fill="auto"/>
            <w:vAlign w:val="center"/>
            <w:hideMark/>
          </w:tcPr>
          <w:p w14:paraId="0083F579"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5"/>
                <w:sz w:val="20"/>
                <w:szCs w:val="20"/>
                <w:lang w:val="en-US" w:eastAsia="en-IN"/>
              </w:rPr>
              <w:t>312</w:t>
            </w:r>
          </w:p>
        </w:tc>
      </w:tr>
      <w:tr w:rsidR="00707D06" w:rsidRPr="006B78E0" w14:paraId="127233B1" w14:textId="77777777" w:rsidTr="001E4551">
        <w:trPr>
          <w:trHeight w:val="300"/>
          <w:jc w:val="center"/>
        </w:trPr>
        <w:tc>
          <w:tcPr>
            <w:tcW w:w="0" w:type="auto"/>
            <w:shd w:val="clear" w:color="auto" w:fill="auto"/>
            <w:vAlign w:val="center"/>
            <w:hideMark/>
          </w:tcPr>
          <w:p w14:paraId="28CCC218"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10"/>
                <w:sz w:val="20"/>
                <w:szCs w:val="20"/>
                <w:lang w:val="en-US" w:eastAsia="en-IN"/>
              </w:rPr>
              <w:t>2</w:t>
            </w:r>
          </w:p>
        </w:tc>
        <w:tc>
          <w:tcPr>
            <w:tcW w:w="0" w:type="auto"/>
            <w:shd w:val="clear" w:color="auto" w:fill="auto"/>
            <w:vAlign w:val="center"/>
            <w:hideMark/>
          </w:tcPr>
          <w:p w14:paraId="523EC90A"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5"/>
                <w:sz w:val="20"/>
                <w:szCs w:val="20"/>
                <w:lang w:val="en-US" w:eastAsia="en-IN"/>
              </w:rPr>
              <w:t>3.7</w:t>
            </w:r>
          </w:p>
        </w:tc>
        <w:tc>
          <w:tcPr>
            <w:tcW w:w="0" w:type="auto"/>
            <w:shd w:val="clear" w:color="auto" w:fill="auto"/>
            <w:vAlign w:val="center"/>
            <w:hideMark/>
          </w:tcPr>
          <w:p w14:paraId="4DB378EC"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5"/>
                <w:sz w:val="20"/>
                <w:szCs w:val="20"/>
                <w:lang w:val="en-US" w:eastAsia="en-IN"/>
              </w:rPr>
              <w:t>0.2</w:t>
            </w:r>
          </w:p>
        </w:tc>
        <w:tc>
          <w:tcPr>
            <w:tcW w:w="0" w:type="auto"/>
            <w:shd w:val="clear" w:color="auto" w:fill="auto"/>
            <w:vAlign w:val="center"/>
            <w:hideMark/>
          </w:tcPr>
          <w:p w14:paraId="7932CBF9"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4"/>
                <w:sz w:val="20"/>
                <w:szCs w:val="20"/>
                <w:lang w:val="en-US" w:eastAsia="en-IN"/>
              </w:rPr>
              <w:t>12.2</w:t>
            </w:r>
          </w:p>
        </w:tc>
        <w:tc>
          <w:tcPr>
            <w:tcW w:w="0" w:type="auto"/>
            <w:shd w:val="clear" w:color="auto" w:fill="auto"/>
            <w:vAlign w:val="center"/>
            <w:hideMark/>
          </w:tcPr>
          <w:p w14:paraId="2CC81249"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5"/>
                <w:sz w:val="20"/>
                <w:szCs w:val="20"/>
                <w:lang w:val="en-US" w:eastAsia="en-IN"/>
              </w:rPr>
              <w:t>309</w:t>
            </w:r>
          </w:p>
        </w:tc>
      </w:tr>
      <w:tr w:rsidR="00707D06" w:rsidRPr="006B78E0" w14:paraId="61FCC1E3" w14:textId="77777777" w:rsidTr="001E4551">
        <w:trPr>
          <w:trHeight w:val="300"/>
          <w:jc w:val="center"/>
        </w:trPr>
        <w:tc>
          <w:tcPr>
            <w:tcW w:w="0" w:type="auto"/>
            <w:shd w:val="clear" w:color="auto" w:fill="auto"/>
            <w:vAlign w:val="center"/>
            <w:hideMark/>
          </w:tcPr>
          <w:p w14:paraId="4235D77B"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10"/>
                <w:sz w:val="20"/>
                <w:szCs w:val="20"/>
                <w:lang w:val="en-US" w:eastAsia="en-IN"/>
              </w:rPr>
              <w:t>3</w:t>
            </w:r>
          </w:p>
        </w:tc>
        <w:tc>
          <w:tcPr>
            <w:tcW w:w="0" w:type="auto"/>
            <w:shd w:val="clear" w:color="auto" w:fill="auto"/>
            <w:vAlign w:val="center"/>
            <w:hideMark/>
          </w:tcPr>
          <w:p w14:paraId="26985CC8"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4"/>
                <w:sz w:val="20"/>
                <w:szCs w:val="20"/>
                <w:lang w:val="en-US" w:eastAsia="en-IN"/>
              </w:rPr>
              <w:t>16.4</w:t>
            </w:r>
          </w:p>
        </w:tc>
        <w:tc>
          <w:tcPr>
            <w:tcW w:w="0" w:type="auto"/>
            <w:shd w:val="clear" w:color="auto" w:fill="auto"/>
            <w:vAlign w:val="center"/>
            <w:hideMark/>
          </w:tcPr>
          <w:p w14:paraId="3E2C28FE"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4"/>
                <w:sz w:val="20"/>
                <w:szCs w:val="20"/>
                <w:lang w:val="en-US" w:eastAsia="en-IN"/>
              </w:rPr>
              <w:t>10.9</w:t>
            </w:r>
          </w:p>
        </w:tc>
        <w:tc>
          <w:tcPr>
            <w:tcW w:w="0" w:type="auto"/>
            <w:shd w:val="clear" w:color="auto" w:fill="auto"/>
            <w:vAlign w:val="center"/>
            <w:hideMark/>
          </w:tcPr>
          <w:p w14:paraId="3F2D64ED"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4"/>
                <w:sz w:val="20"/>
                <w:szCs w:val="20"/>
                <w:lang w:val="en-US" w:eastAsia="en-IN"/>
              </w:rPr>
              <w:t>13.2</w:t>
            </w:r>
          </w:p>
        </w:tc>
        <w:tc>
          <w:tcPr>
            <w:tcW w:w="0" w:type="auto"/>
            <w:shd w:val="clear" w:color="auto" w:fill="auto"/>
            <w:vAlign w:val="center"/>
            <w:hideMark/>
          </w:tcPr>
          <w:p w14:paraId="4B85AAF8"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5"/>
                <w:sz w:val="20"/>
                <w:szCs w:val="20"/>
                <w:lang w:val="en-US" w:eastAsia="en-IN"/>
              </w:rPr>
              <w:t>324</w:t>
            </w:r>
          </w:p>
        </w:tc>
      </w:tr>
      <w:tr w:rsidR="00707D06" w:rsidRPr="006B78E0" w14:paraId="4DABD807" w14:textId="77777777" w:rsidTr="001E4551">
        <w:trPr>
          <w:trHeight w:val="300"/>
          <w:jc w:val="center"/>
        </w:trPr>
        <w:tc>
          <w:tcPr>
            <w:tcW w:w="0" w:type="auto"/>
            <w:shd w:val="clear" w:color="auto" w:fill="auto"/>
            <w:vAlign w:val="center"/>
            <w:hideMark/>
          </w:tcPr>
          <w:p w14:paraId="38A6FA7B"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10"/>
                <w:sz w:val="20"/>
                <w:szCs w:val="20"/>
                <w:lang w:val="en-US" w:eastAsia="en-IN"/>
              </w:rPr>
              <w:t>4</w:t>
            </w:r>
          </w:p>
        </w:tc>
        <w:tc>
          <w:tcPr>
            <w:tcW w:w="0" w:type="auto"/>
            <w:shd w:val="clear" w:color="auto" w:fill="auto"/>
            <w:vAlign w:val="center"/>
            <w:hideMark/>
          </w:tcPr>
          <w:p w14:paraId="78E4126D"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4"/>
                <w:sz w:val="20"/>
                <w:szCs w:val="20"/>
                <w:lang w:val="en-US" w:eastAsia="en-IN"/>
              </w:rPr>
              <w:t>11</w:t>
            </w:r>
          </w:p>
        </w:tc>
        <w:tc>
          <w:tcPr>
            <w:tcW w:w="0" w:type="auto"/>
            <w:shd w:val="clear" w:color="auto" w:fill="auto"/>
            <w:vAlign w:val="center"/>
            <w:hideMark/>
          </w:tcPr>
          <w:p w14:paraId="60A3E651"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pacing w:val="-5"/>
                <w:sz w:val="20"/>
                <w:szCs w:val="20"/>
                <w:lang w:val="en-US" w:eastAsia="en-IN"/>
              </w:rPr>
              <w:t>7.2</w:t>
            </w:r>
          </w:p>
        </w:tc>
        <w:tc>
          <w:tcPr>
            <w:tcW w:w="0" w:type="auto"/>
            <w:shd w:val="clear" w:color="auto" w:fill="auto"/>
            <w:vAlign w:val="center"/>
            <w:hideMark/>
          </w:tcPr>
          <w:p w14:paraId="0AC7A20C"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z w:val="20"/>
                <w:szCs w:val="20"/>
                <w:lang w:val="en-US" w:eastAsia="en-IN"/>
              </w:rPr>
              <w:t> </w:t>
            </w:r>
          </w:p>
        </w:tc>
        <w:tc>
          <w:tcPr>
            <w:tcW w:w="0" w:type="auto"/>
            <w:shd w:val="clear" w:color="auto" w:fill="auto"/>
            <w:vAlign w:val="center"/>
            <w:hideMark/>
          </w:tcPr>
          <w:p w14:paraId="27A05A10" w14:textId="77777777" w:rsidR="00707D06" w:rsidRPr="006B78E0" w:rsidRDefault="00707D06" w:rsidP="000154A4">
            <w:pPr>
              <w:spacing w:after="0" w:line="240" w:lineRule="auto"/>
              <w:jc w:val="both"/>
              <w:rPr>
                <w:rFonts w:ascii="Times New Roman" w:eastAsia="Times New Roman" w:hAnsi="Times New Roman" w:cs="Times New Roman"/>
                <w:color w:val="000000"/>
                <w:sz w:val="20"/>
                <w:szCs w:val="20"/>
                <w:lang w:eastAsia="en-IN"/>
              </w:rPr>
            </w:pPr>
            <w:r w:rsidRPr="006B78E0">
              <w:rPr>
                <w:rFonts w:ascii="Times New Roman" w:eastAsia="Times New Roman" w:hAnsi="Times New Roman" w:cs="Times New Roman"/>
                <w:color w:val="000000"/>
                <w:sz w:val="20"/>
                <w:szCs w:val="20"/>
                <w:lang w:val="en-US" w:eastAsia="en-IN"/>
              </w:rPr>
              <w:t> </w:t>
            </w:r>
          </w:p>
        </w:tc>
      </w:tr>
    </w:tbl>
    <w:p w14:paraId="548B5191" w14:textId="77777777" w:rsidR="009F3F0A" w:rsidRDefault="009F3F0A" w:rsidP="000154A4">
      <w:pPr>
        <w:spacing w:after="0" w:line="240" w:lineRule="auto"/>
        <w:jc w:val="both"/>
        <w:rPr>
          <w:rFonts w:ascii="Times New Roman" w:hAnsi="Times New Roman" w:cs="Times New Roman"/>
          <w:sz w:val="20"/>
        </w:rPr>
      </w:pPr>
    </w:p>
    <w:p w14:paraId="7FC51D62" w14:textId="77777777" w:rsidR="003D0E6D" w:rsidRPr="00D86910" w:rsidRDefault="009F3F0A" w:rsidP="000154A4">
      <w:pPr>
        <w:spacing w:after="0" w:line="240" w:lineRule="auto"/>
        <w:jc w:val="center"/>
        <w:rPr>
          <w:rFonts w:ascii="Times New Roman" w:hAnsi="Times New Roman" w:cs="Times New Roman"/>
          <w:b/>
          <w:sz w:val="20"/>
        </w:rPr>
      </w:pPr>
      <w:r w:rsidRPr="00D86910">
        <w:rPr>
          <w:rFonts w:ascii="Times New Roman" w:hAnsi="Times New Roman" w:cs="Times New Roman"/>
          <w:b/>
          <w:sz w:val="20"/>
        </w:rPr>
        <w:t>Table 1</w:t>
      </w:r>
      <w:r w:rsidR="00D86910" w:rsidRPr="00D86910">
        <w:rPr>
          <w:rFonts w:ascii="Times New Roman" w:hAnsi="Times New Roman" w:cs="Times New Roman"/>
          <w:b/>
          <w:sz w:val="20"/>
        </w:rPr>
        <w:t>:</w:t>
      </w:r>
      <w:r w:rsidR="000154A4">
        <w:rPr>
          <w:rFonts w:ascii="Times New Roman" w:hAnsi="Times New Roman" w:cs="Times New Roman"/>
          <w:b/>
          <w:sz w:val="20"/>
        </w:rPr>
        <w:t xml:space="preserve"> </w:t>
      </w:r>
      <w:r w:rsidR="000154A4" w:rsidRPr="000154A4">
        <w:rPr>
          <w:rFonts w:ascii="Times New Roman" w:hAnsi="Times New Roman" w:cs="Times New Roman"/>
          <w:sz w:val="20"/>
        </w:rPr>
        <w:t>Complete Blood Count</w:t>
      </w:r>
      <w:r w:rsidR="000154A4">
        <w:rPr>
          <w:rFonts w:ascii="Times New Roman" w:hAnsi="Times New Roman" w:cs="Times New Roman"/>
          <w:sz w:val="20"/>
        </w:rPr>
        <w:t>.</w:t>
      </w:r>
    </w:p>
    <w:p w14:paraId="48054684" w14:textId="77777777" w:rsidR="009F3F0A" w:rsidRDefault="009F3F0A" w:rsidP="000154A4">
      <w:pPr>
        <w:spacing w:after="0" w:line="240" w:lineRule="auto"/>
        <w:jc w:val="both"/>
        <w:rPr>
          <w:rFonts w:ascii="Times New Roman" w:hAnsi="Times New Roman" w:cs="Times New Roman"/>
          <w:sz w:val="20"/>
        </w:rPr>
      </w:pPr>
    </w:p>
    <w:p w14:paraId="0D6F10FF" w14:textId="77777777" w:rsidR="009F3F0A" w:rsidRDefault="009F3F0A" w:rsidP="000154A4">
      <w:pPr>
        <w:spacing w:after="0" w:line="240" w:lineRule="auto"/>
        <w:jc w:val="center"/>
        <w:rPr>
          <w:rFonts w:ascii="Times New Roman" w:hAnsi="Times New Roman" w:cs="Times New Roman"/>
          <w:sz w:val="20"/>
        </w:rPr>
      </w:pPr>
      <w:r>
        <w:rPr>
          <w:rFonts w:ascii="Times New Roman" w:hAnsi="Times New Roman" w:cs="Times New Roman"/>
          <w:noProof/>
          <w:sz w:val="20"/>
          <w:lang w:eastAsia="en-IN"/>
        </w:rPr>
        <w:lastRenderedPageBreak/>
        <w:drawing>
          <wp:inline distT="0" distB="0" distL="0" distR="0" wp14:anchorId="46464C87" wp14:editId="11F2A605">
            <wp:extent cx="3233563" cy="23050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0839" cy="2310237"/>
                    </a:xfrm>
                    <a:prstGeom prst="rect">
                      <a:avLst/>
                    </a:prstGeom>
                    <a:noFill/>
                  </pic:spPr>
                </pic:pic>
              </a:graphicData>
            </a:graphic>
          </wp:inline>
        </w:drawing>
      </w:r>
      <w:r>
        <w:rPr>
          <w:rFonts w:ascii="Times New Roman" w:hAnsi="Times New Roman" w:cs="Times New Roman"/>
          <w:sz w:val="20"/>
        </w:rPr>
        <w:br/>
      </w:r>
    </w:p>
    <w:p w14:paraId="78EBAE58" w14:textId="77777777" w:rsidR="009F3F0A" w:rsidRDefault="009F3F0A" w:rsidP="000154A4">
      <w:pPr>
        <w:spacing w:after="0" w:line="240" w:lineRule="auto"/>
        <w:jc w:val="center"/>
        <w:rPr>
          <w:rFonts w:ascii="Times New Roman" w:hAnsi="Times New Roman" w:cs="Times New Roman"/>
          <w:sz w:val="20"/>
        </w:rPr>
      </w:pPr>
      <w:r w:rsidRPr="009F3F0A">
        <w:rPr>
          <w:rFonts w:ascii="Times New Roman" w:hAnsi="Times New Roman" w:cs="Times New Roman"/>
          <w:b/>
          <w:sz w:val="20"/>
        </w:rPr>
        <w:t>Figure 1:</w:t>
      </w:r>
      <w:r>
        <w:rPr>
          <w:rFonts w:ascii="Times New Roman" w:hAnsi="Times New Roman" w:cs="Times New Roman"/>
          <w:sz w:val="20"/>
        </w:rPr>
        <w:t xml:space="preserve"> </w:t>
      </w:r>
      <w:r w:rsidRPr="009F3F0A">
        <w:rPr>
          <w:rFonts w:ascii="Times New Roman" w:hAnsi="Times New Roman" w:cs="Times New Roman"/>
          <w:sz w:val="20"/>
        </w:rPr>
        <w:t>Peripheral blood smear on Day 1 shows no granulocytes.</w:t>
      </w:r>
    </w:p>
    <w:p w14:paraId="048C7084" w14:textId="77777777" w:rsidR="00673C04" w:rsidRDefault="00673C04" w:rsidP="000154A4">
      <w:pPr>
        <w:spacing w:after="0" w:line="240" w:lineRule="auto"/>
        <w:jc w:val="both"/>
        <w:rPr>
          <w:rFonts w:ascii="Times New Roman" w:hAnsi="Times New Roman" w:cs="Times New Roman"/>
          <w:sz w:val="20"/>
        </w:rPr>
      </w:pPr>
    </w:p>
    <w:p w14:paraId="1AC525E3" w14:textId="77777777" w:rsidR="00673C04" w:rsidRDefault="00673C04" w:rsidP="000154A4">
      <w:pPr>
        <w:spacing w:after="0" w:line="240" w:lineRule="auto"/>
        <w:jc w:val="center"/>
        <w:rPr>
          <w:rFonts w:ascii="Times New Roman" w:hAnsi="Times New Roman" w:cs="Times New Roman"/>
          <w:sz w:val="20"/>
        </w:rPr>
      </w:pPr>
      <w:r>
        <w:rPr>
          <w:rFonts w:ascii="Times New Roman" w:hAnsi="Times New Roman" w:cs="Times New Roman"/>
          <w:noProof/>
          <w:sz w:val="20"/>
          <w:lang w:eastAsia="en-IN"/>
        </w:rPr>
        <w:drawing>
          <wp:inline distT="0" distB="0" distL="0" distR="0" wp14:anchorId="24D7D287" wp14:editId="06B44E2D">
            <wp:extent cx="2832709" cy="2019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6635" cy="2022099"/>
                    </a:xfrm>
                    <a:prstGeom prst="rect">
                      <a:avLst/>
                    </a:prstGeom>
                    <a:noFill/>
                  </pic:spPr>
                </pic:pic>
              </a:graphicData>
            </a:graphic>
          </wp:inline>
        </w:drawing>
      </w:r>
      <w:r>
        <w:rPr>
          <w:rFonts w:ascii="Times New Roman" w:hAnsi="Times New Roman" w:cs="Times New Roman"/>
          <w:sz w:val="20"/>
        </w:rPr>
        <w:br/>
      </w:r>
    </w:p>
    <w:p w14:paraId="184B3635" w14:textId="77777777" w:rsidR="000154A4" w:rsidRDefault="00673C04" w:rsidP="000154A4">
      <w:pPr>
        <w:spacing w:after="0" w:line="240" w:lineRule="auto"/>
        <w:jc w:val="center"/>
        <w:rPr>
          <w:rFonts w:ascii="Times New Roman" w:hAnsi="Times New Roman" w:cs="Times New Roman"/>
          <w:sz w:val="20"/>
        </w:rPr>
      </w:pPr>
      <w:r w:rsidRPr="00673C04">
        <w:rPr>
          <w:rFonts w:ascii="Times New Roman" w:hAnsi="Times New Roman" w:cs="Times New Roman"/>
          <w:b/>
          <w:sz w:val="20"/>
        </w:rPr>
        <w:t>Figure 2:</w:t>
      </w:r>
      <w:r>
        <w:rPr>
          <w:rFonts w:ascii="Times New Roman" w:hAnsi="Times New Roman" w:cs="Times New Roman"/>
          <w:sz w:val="20"/>
        </w:rPr>
        <w:t xml:space="preserve"> </w:t>
      </w:r>
      <w:r w:rsidRPr="00673C04">
        <w:rPr>
          <w:rFonts w:ascii="Times New Roman" w:hAnsi="Times New Roman" w:cs="Times New Roman"/>
          <w:sz w:val="20"/>
        </w:rPr>
        <w:t>Peripheral blood smear on Day 3 shows increased circulating granulocytes.</w:t>
      </w:r>
    </w:p>
    <w:p w14:paraId="186B4056" w14:textId="77777777" w:rsidR="00673C04" w:rsidRDefault="00673C04" w:rsidP="000154A4">
      <w:pPr>
        <w:spacing w:after="0" w:line="240" w:lineRule="auto"/>
        <w:jc w:val="both"/>
        <w:rPr>
          <w:rFonts w:ascii="Times New Roman" w:hAnsi="Times New Roman" w:cs="Times New Roman"/>
          <w:sz w:val="20"/>
        </w:rPr>
      </w:pPr>
      <w:r>
        <w:rPr>
          <w:rFonts w:ascii="Times New Roman" w:hAnsi="Times New Roman" w:cs="Times New Roman"/>
          <w:sz w:val="20"/>
        </w:rPr>
        <w:br/>
      </w:r>
    </w:p>
    <w:p w14:paraId="658FD5BE" w14:textId="77777777" w:rsidR="00D86910" w:rsidRPr="00D86910" w:rsidRDefault="00D86910" w:rsidP="000154A4">
      <w:pPr>
        <w:spacing w:after="0" w:line="240" w:lineRule="auto"/>
        <w:jc w:val="both"/>
        <w:rPr>
          <w:rFonts w:ascii="Times New Roman" w:hAnsi="Times New Roman" w:cs="Times New Roman"/>
          <w:b/>
        </w:rPr>
      </w:pPr>
      <w:r w:rsidRPr="00D86910">
        <w:rPr>
          <w:rFonts w:ascii="Times New Roman" w:hAnsi="Times New Roman" w:cs="Times New Roman"/>
          <w:b/>
        </w:rPr>
        <w:t>Discussion</w:t>
      </w:r>
    </w:p>
    <w:p w14:paraId="5A07C432" w14:textId="77777777" w:rsidR="00D86910" w:rsidRPr="00D86910" w:rsidRDefault="00D86910" w:rsidP="000154A4">
      <w:pPr>
        <w:spacing w:after="0" w:line="240" w:lineRule="auto"/>
        <w:jc w:val="both"/>
        <w:rPr>
          <w:rFonts w:ascii="Times New Roman" w:hAnsi="Times New Roman" w:cs="Times New Roman"/>
          <w:sz w:val="20"/>
        </w:rPr>
      </w:pPr>
    </w:p>
    <w:p w14:paraId="76FE9AC3" w14:textId="77777777" w:rsidR="00D86910" w:rsidRDefault="00D86910" w:rsidP="000154A4">
      <w:pPr>
        <w:spacing w:after="0" w:line="240" w:lineRule="auto"/>
        <w:jc w:val="both"/>
        <w:rPr>
          <w:rFonts w:ascii="Times New Roman" w:hAnsi="Times New Roman" w:cs="Times New Roman"/>
          <w:sz w:val="20"/>
        </w:rPr>
      </w:pPr>
      <w:r w:rsidRPr="00D86910">
        <w:rPr>
          <w:rFonts w:ascii="Times New Roman" w:hAnsi="Times New Roman" w:cs="Times New Roman"/>
          <w:sz w:val="20"/>
        </w:rPr>
        <w:t>The incidence of agranulocytosis induced by non-chemothera</w:t>
      </w:r>
      <w:r>
        <w:rPr>
          <w:rFonts w:ascii="Times New Roman" w:hAnsi="Times New Roman" w:cs="Times New Roman"/>
          <w:sz w:val="20"/>
        </w:rPr>
        <w:t xml:space="preserve">py drugs was reported very rare </w:t>
      </w:r>
      <w:r w:rsidRPr="00D86910">
        <w:rPr>
          <w:rFonts w:ascii="Times New Roman" w:hAnsi="Times New Roman" w:cs="Times New Roman"/>
          <w:sz w:val="20"/>
        </w:rPr>
        <w:t>occurring 7.2 cases per million per year</w:t>
      </w:r>
      <w:r w:rsidRPr="00D86910">
        <w:rPr>
          <w:rFonts w:ascii="Times New Roman" w:hAnsi="Times New Roman" w:cs="Times New Roman"/>
          <w:color w:val="FF0000"/>
          <w:sz w:val="20"/>
        </w:rPr>
        <w:t xml:space="preserve"> [9]</w:t>
      </w:r>
      <w:r w:rsidRPr="00D86910">
        <w:rPr>
          <w:rFonts w:ascii="Times New Roman" w:hAnsi="Times New Roman" w:cs="Times New Roman"/>
          <w:sz w:val="20"/>
        </w:rPr>
        <w:t xml:space="preserve">. However, a recent study </w:t>
      </w:r>
      <w:r w:rsidRPr="00D86910">
        <w:rPr>
          <w:rFonts w:ascii="Times New Roman" w:hAnsi="Times New Roman" w:cs="Times New Roman"/>
          <w:color w:val="FF0000"/>
          <w:sz w:val="20"/>
        </w:rPr>
        <w:t>[6]</w:t>
      </w:r>
      <w:r w:rsidRPr="00D86910">
        <w:rPr>
          <w:rFonts w:ascii="Times New Roman" w:hAnsi="Times New Roman" w:cs="Times New Roman"/>
          <w:sz w:val="20"/>
        </w:rPr>
        <w:t xml:space="preserve"> showed that antibiotic- induced neutropenia and agranulocytosis are not so rare. Out of 2513 treatments courses, 55 cases of neutropenia (defined as ANC &lt;1.5 x109/L) and 16 cases of agranulocytosis (ANC &lt;0.5 x109/L) were identified. In particular, neutropenia due to piperacillin-tazobactam occurred in 6 cases out of 446 treatments courses with the incidence of 1.35%. Idiosyncratic drug-induced</w:t>
      </w:r>
      <w:r>
        <w:rPr>
          <w:rFonts w:ascii="Times New Roman" w:hAnsi="Times New Roman" w:cs="Times New Roman"/>
          <w:sz w:val="20"/>
        </w:rPr>
        <w:t xml:space="preserve"> </w:t>
      </w:r>
      <w:r w:rsidRPr="00D86910">
        <w:rPr>
          <w:rFonts w:ascii="Times New Roman" w:hAnsi="Times New Roman" w:cs="Times New Roman"/>
          <w:sz w:val="20"/>
        </w:rPr>
        <w:t xml:space="preserve">agranulocytosis occurs unpredictably, is not dose dependent, and </w:t>
      </w:r>
      <w:r>
        <w:rPr>
          <w:rFonts w:ascii="Times New Roman" w:hAnsi="Times New Roman" w:cs="Times New Roman"/>
          <w:sz w:val="20"/>
        </w:rPr>
        <w:t xml:space="preserve">is probably immune-mediated </w:t>
      </w:r>
      <w:r w:rsidRPr="00D86910">
        <w:rPr>
          <w:rFonts w:ascii="Times New Roman" w:hAnsi="Times New Roman" w:cs="Times New Roman"/>
          <w:color w:val="FF0000"/>
          <w:sz w:val="20"/>
        </w:rPr>
        <w:t>[1,4]</w:t>
      </w:r>
      <w:r w:rsidRPr="00D86910">
        <w:rPr>
          <w:rFonts w:ascii="Times New Roman" w:hAnsi="Times New Roman" w:cs="Times New Roman"/>
          <w:sz w:val="20"/>
        </w:rPr>
        <w:t>. The evidence of its immune mechanism includes a dela</w:t>
      </w:r>
      <w:r>
        <w:rPr>
          <w:rFonts w:ascii="Times New Roman" w:hAnsi="Times New Roman" w:cs="Times New Roman"/>
          <w:sz w:val="20"/>
        </w:rPr>
        <w:t xml:space="preserve">yed onset of the reaction after </w:t>
      </w:r>
      <w:r w:rsidRPr="00D86910">
        <w:rPr>
          <w:rFonts w:ascii="Times New Roman" w:hAnsi="Times New Roman" w:cs="Times New Roman"/>
          <w:sz w:val="20"/>
        </w:rPr>
        <w:t>initiation of the therapy, the rapid reappearance of the reaction after resumption of the medicine, appearance of eosinophilia, formation of drug-dependent</w:t>
      </w:r>
      <w:r>
        <w:rPr>
          <w:rFonts w:ascii="Times New Roman" w:hAnsi="Times New Roman" w:cs="Times New Roman"/>
          <w:sz w:val="20"/>
        </w:rPr>
        <w:t xml:space="preserve"> neutrophil antibodies, and the </w:t>
      </w:r>
      <w:r w:rsidRPr="00D86910">
        <w:rPr>
          <w:rFonts w:ascii="Times New Roman" w:hAnsi="Times New Roman" w:cs="Times New Roman"/>
          <w:sz w:val="20"/>
        </w:rPr>
        <w:t xml:space="preserve">association of idiosyncratic reactions with specific HLA gene </w:t>
      </w:r>
      <w:r>
        <w:rPr>
          <w:rFonts w:ascii="Times New Roman" w:hAnsi="Times New Roman" w:cs="Times New Roman"/>
          <w:sz w:val="20"/>
        </w:rPr>
        <w:t xml:space="preserve">variants in some cases </w:t>
      </w:r>
      <w:r w:rsidRPr="00D86910">
        <w:rPr>
          <w:rFonts w:ascii="Times New Roman" w:hAnsi="Times New Roman" w:cs="Times New Roman"/>
          <w:color w:val="FF0000"/>
          <w:sz w:val="20"/>
        </w:rPr>
        <w:t>[1]</w:t>
      </w:r>
      <w:r>
        <w:rPr>
          <w:rFonts w:ascii="Times New Roman" w:hAnsi="Times New Roman" w:cs="Times New Roman"/>
          <w:sz w:val="20"/>
        </w:rPr>
        <w:t xml:space="preserve">. Our </w:t>
      </w:r>
      <w:r w:rsidRPr="00D86910">
        <w:rPr>
          <w:rFonts w:ascii="Times New Roman" w:hAnsi="Times New Roman" w:cs="Times New Roman"/>
          <w:sz w:val="20"/>
        </w:rPr>
        <w:t>patient developed agranulocytosis while receiving antibiotics at home. The home-based OPAT is increasingly utilized because patients with complicated inf</w:t>
      </w:r>
      <w:r>
        <w:rPr>
          <w:rFonts w:ascii="Times New Roman" w:hAnsi="Times New Roman" w:cs="Times New Roman"/>
          <w:sz w:val="20"/>
        </w:rPr>
        <w:t xml:space="preserve">ections can safely complete the </w:t>
      </w:r>
      <w:r w:rsidRPr="00D86910">
        <w:rPr>
          <w:rFonts w:ascii="Times New Roman" w:hAnsi="Times New Roman" w:cs="Times New Roman"/>
          <w:sz w:val="20"/>
        </w:rPr>
        <w:t>prolonged courses of therapy in a familiar environment, while minimizing the exposure to the hospital-acq</w:t>
      </w:r>
      <w:r>
        <w:rPr>
          <w:rFonts w:ascii="Times New Roman" w:hAnsi="Times New Roman" w:cs="Times New Roman"/>
          <w:sz w:val="20"/>
        </w:rPr>
        <w:t xml:space="preserve">uired </w:t>
      </w:r>
      <w:r w:rsidRPr="00D86910">
        <w:rPr>
          <w:rFonts w:ascii="Times New Roman" w:hAnsi="Times New Roman" w:cs="Times New Roman"/>
          <w:sz w:val="20"/>
        </w:rPr>
        <w:t>infec</w:t>
      </w:r>
      <w:r>
        <w:rPr>
          <w:rFonts w:ascii="Times New Roman" w:hAnsi="Times New Roman" w:cs="Times New Roman"/>
          <w:sz w:val="20"/>
        </w:rPr>
        <w:t xml:space="preserve">tions and decreasing costs </w:t>
      </w:r>
      <w:r w:rsidRPr="003E76AA">
        <w:rPr>
          <w:rFonts w:ascii="Times New Roman" w:hAnsi="Times New Roman" w:cs="Times New Roman"/>
          <w:color w:val="FF0000"/>
          <w:sz w:val="20"/>
        </w:rPr>
        <w:t>[10,11]</w:t>
      </w:r>
      <w:r w:rsidRPr="00D86910">
        <w:rPr>
          <w:rFonts w:ascii="Times New Roman" w:hAnsi="Times New Roman" w:cs="Times New Roman"/>
          <w:sz w:val="20"/>
        </w:rPr>
        <w:t xml:space="preserve">. However, it lacks the close monitoring offered in the hospital setting, which makes early identification of adverse complications such as agranulocytosis difficult, especially when patients have no classic symptoms. Our patient was monitored with weekly CBC according to the OPAT program of our institution. The day before she was readmitted, the CBC done by our OPAT protocol showed agranulocytosis (WBC 3.2 x 109/L with ANC 0.1 x 109/L) which coincided with the onset of the body aches. The CBC done a week prior was normal. Therefore, because of the one-week </w:t>
      </w:r>
      <w:r>
        <w:rPr>
          <w:rFonts w:ascii="Times New Roman" w:hAnsi="Times New Roman" w:cs="Times New Roman"/>
          <w:sz w:val="20"/>
        </w:rPr>
        <w:t xml:space="preserve">gap, we cannot be sure how many </w:t>
      </w:r>
      <w:r w:rsidRPr="00D86910">
        <w:rPr>
          <w:rFonts w:ascii="Times New Roman" w:hAnsi="Times New Roman" w:cs="Times New Roman"/>
          <w:sz w:val="20"/>
        </w:rPr>
        <w:t>days she had agranulocytosis before she developed the body a</w:t>
      </w:r>
      <w:r>
        <w:rPr>
          <w:rFonts w:ascii="Times New Roman" w:hAnsi="Times New Roman" w:cs="Times New Roman"/>
          <w:sz w:val="20"/>
        </w:rPr>
        <w:t xml:space="preserve">ches. It is noticeable that our </w:t>
      </w:r>
      <w:r w:rsidRPr="00D86910">
        <w:rPr>
          <w:rFonts w:ascii="Times New Roman" w:hAnsi="Times New Roman" w:cs="Times New Roman"/>
          <w:sz w:val="20"/>
        </w:rPr>
        <w:t>patient developed severe body aches right after infusion of the antibiotic of which rea</w:t>
      </w:r>
      <w:r>
        <w:rPr>
          <w:rFonts w:ascii="Times New Roman" w:hAnsi="Times New Roman" w:cs="Times New Roman"/>
          <w:sz w:val="20"/>
        </w:rPr>
        <w:t xml:space="preserve">son is not clear. Nevertheless, </w:t>
      </w:r>
      <w:r w:rsidRPr="00D86910">
        <w:rPr>
          <w:rFonts w:ascii="Times New Roman" w:hAnsi="Times New Roman" w:cs="Times New Roman"/>
          <w:sz w:val="20"/>
        </w:rPr>
        <w:t xml:space="preserve">without the body aches, she could have continued the antibiotic, which might have resulted in a dreadful consequence in this patient with </w:t>
      </w:r>
      <w:r w:rsidRPr="00D86910">
        <w:rPr>
          <w:rFonts w:ascii="Times New Roman" w:hAnsi="Times New Roman" w:cs="Times New Roman"/>
          <w:sz w:val="20"/>
        </w:rPr>
        <w:lastRenderedPageBreak/>
        <w:t>serious infection. As severe body</w:t>
      </w:r>
      <w:r>
        <w:rPr>
          <w:rFonts w:ascii="Times New Roman" w:hAnsi="Times New Roman" w:cs="Times New Roman"/>
          <w:sz w:val="20"/>
        </w:rPr>
        <w:t xml:space="preserve"> </w:t>
      </w:r>
      <w:r w:rsidRPr="00D86910">
        <w:rPr>
          <w:rFonts w:ascii="Times New Roman" w:hAnsi="Times New Roman" w:cs="Times New Roman"/>
          <w:sz w:val="20"/>
        </w:rPr>
        <w:t>pain is not a typical symptom of agranulocytosis, clinicians should be aware that agranulocytosis may be manifested by atypical symptoms such as severe bod</w:t>
      </w:r>
      <w:r>
        <w:rPr>
          <w:rFonts w:ascii="Times New Roman" w:hAnsi="Times New Roman" w:cs="Times New Roman"/>
          <w:sz w:val="20"/>
        </w:rPr>
        <w:t>y aches as seen in our patient.</w:t>
      </w:r>
    </w:p>
    <w:p w14:paraId="20841A8F" w14:textId="77777777" w:rsidR="00D86910" w:rsidRDefault="00D86910" w:rsidP="000154A4">
      <w:pPr>
        <w:spacing w:after="0" w:line="240" w:lineRule="auto"/>
        <w:jc w:val="both"/>
        <w:rPr>
          <w:rFonts w:ascii="Times New Roman" w:hAnsi="Times New Roman" w:cs="Times New Roman"/>
          <w:sz w:val="20"/>
        </w:rPr>
      </w:pPr>
    </w:p>
    <w:p w14:paraId="06FBB333" w14:textId="77777777" w:rsidR="00D86910" w:rsidRPr="00D86910" w:rsidRDefault="00D86910" w:rsidP="000154A4">
      <w:pPr>
        <w:spacing w:after="0" w:line="240" w:lineRule="auto"/>
        <w:jc w:val="both"/>
        <w:rPr>
          <w:rFonts w:ascii="Times New Roman" w:hAnsi="Times New Roman" w:cs="Times New Roman"/>
          <w:sz w:val="20"/>
        </w:rPr>
      </w:pPr>
      <w:r w:rsidRPr="00D86910">
        <w:rPr>
          <w:rFonts w:ascii="Times New Roman" w:hAnsi="Times New Roman" w:cs="Times New Roman"/>
          <w:sz w:val="20"/>
        </w:rPr>
        <w:t>Our patient reported ‘cold’ symptoms with chest congestion and occasional chilly sensation without fever for 2 weeks before the 2nd admission. The viral molecular test came back positive for rhinovirus/enterovirus. One may think that the common cold viral infection could have caused agranulocytosis in this case. Transient mild to modera</w:t>
      </w:r>
      <w:r>
        <w:rPr>
          <w:rFonts w:ascii="Times New Roman" w:hAnsi="Times New Roman" w:cs="Times New Roman"/>
          <w:sz w:val="20"/>
        </w:rPr>
        <w:t xml:space="preserve">te neutropenia may be caused by </w:t>
      </w:r>
      <w:r w:rsidRPr="00D86910">
        <w:rPr>
          <w:rFonts w:ascii="Times New Roman" w:hAnsi="Times New Roman" w:cs="Times New Roman"/>
          <w:sz w:val="20"/>
        </w:rPr>
        <w:t xml:space="preserve">various common viral infections during childhood. In most cases, neutropenia occurs during the first few days of the viral illness and persists for 3-8 days </w:t>
      </w:r>
      <w:r w:rsidRPr="00D86910">
        <w:rPr>
          <w:rFonts w:ascii="Times New Roman" w:hAnsi="Times New Roman" w:cs="Times New Roman"/>
          <w:color w:val="FF0000"/>
          <w:sz w:val="20"/>
        </w:rPr>
        <w:t>[1</w:t>
      </w:r>
      <w:r w:rsidR="0050110C">
        <w:rPr>
          <w:rFonts w:ascii="Times New Roman" w:hAnsi="Times New Roman" w:cs="Times New Roman"/>
          <w:color w:val="FF0000"/>
          <w:sz w:val="20"/>
        </w:rPr>
        <w:t>2</w:t>
      </w:r>
      <w:r w:rsidRPr="00D86910">
        <w:rPr>
          <w:rFonts w:ascii="Times New Roman" w:hAnsi="Times New Roman" w:cs="Times New Roman"/>
          <w:color w:val="FF0000"/>
          <w:sz w:val="20"/>
        </w:rPr>
        <w:t>]</w:t>
      </w:r>
      <w:r>
        <w:rPr>
          <w:rFonts w:ascii="Times New Roman" w:hAnsi="Times New Roman" w:cs="Times New Roman"/>
          <w:sz w:val="20"/>
        </w:rPr>
        <w:t xml:space="preserve">. But our patient developed </w:t>
      </w:r>
      <w:r w:rsidRPr="00D86910">
        <w:rPr>
          <w:rFonts w:ascii="Times New Roman" w:hAnsi="Times New Roman" w:cs="Times New Roman"/>
          <w:sz w:val="20"/>
        </w:rPr>
        <w:t>agranulocytosis more than 2 weeks after her first cold symptoms. Although any viral infection can cause transient mild neutropenia, more profound neutrop</w:t>
      </w:r>
      <w:r>
        <w:rPr>
          <w:rFonts w:ascii="Times New Roman" w:hAnsi="Times New Roman" w:cs="Times New Roman"/>
          <w:sz w:val="20"/>
        </w:rPr>
        <w:t xml:space="preserve">enia may occur in certain viral </w:t>
      </w:r>
      <w:r w:rsidRPr="00D86910">
        <w:rPr>
          <w:rFonts w:ascii="Times New Roman" w:hAnsi="Times New Roman" w:cs="Times New Roman"/>
          <w:sz w:val="20"/>
        </w:rPr>
        <w:t xml:space="preserve">infections (HIV, Epstein-Barr virus, cytomegalovirus, influenza, and parvovirus B19) </w:t>
      </w:r>
      <w:r w:rsidRPr="00D86910">
        <w:rPr>
          <w:rFonts w:ascii="Times New Roman" w:hAnsi="Times New Roman" w:cs="Times New Roman"/>
          <w:color w:val="FF0000"/>
          <w:sz w:val="20"/>
        </w:rPr>
        <w:t>[2]</w:t>
      </w:r>
      <w:r w:rsidRPr="00D86910">
        <w:rPr>
          <w:rFonts w:ascii="Times New Roman" w:hAnsi="Times New Roman" w:cs="Times New Roman"/>
          <w:sz w:val="20"/>
        </w:rPr>
        <w:t>. Th</w:t>
      </w:r>
      <w:r>
        <w:rPr>
          <w:rFonts w:ascii="Times New Roman" w:hAnsi="Times New Roman" w:cs="Times New Roman"/>
          <w:sz w:val="20"/>
        </w:rPr>
        <w:t xml:space="preserve">ere </w:t>
      </w:r>
      <w:r w:rsidRPr="00D86910">
        <w:rPr>
          <w:rFonts w:ascii="Times New Roman" w:hAnsi="Times New Roman" w:cs="Times New Roman"/>
          <w:sz w:val="20"/>
        </w:rPr>
        <w:t>are limited data describing the frequency or natural history of neutropenia associated with upper respiratory viral infection in adults. A retrospective study showed that among 436 adult patients hospitalized with severe influenza infection during the influenza season, about 15% developed neutropenia. Majority of cases were mild with the ANC ove</w:t>
      </w:r>
      <w:r>
        <w:rPr>
          <w:rFonts w:ascii="Times New Roman" w:hAnsi="Times New Roman" w:cs="Times New Roman"/>
          <w:sz w:val="20"/>
        </w:rPr>
        <w:t xml:space="preserve">r 1.0 x 109/L </w:t>
      </w:r>
      <w:r w:rsidRPr="00D86910">
        <w:rPr>
          <w:rFonts w:ascii="Times New Roman" w:hAnsi="Times New Roman" w:cs="Times New Roman"/>
          <w:color w:val="FF0000"/>
          <w:sz w:val="20"/>
        </w:rPr>
        <w:t>[1</w:t>
      </w:r>
      <w:r w:rsidR="0050110C">
        <w:rPr>
          <w:rFonts w:ascii="Times New Roman" w:hAnsi="Times New Roman" w:cs="Times New Roman"/>
          <w:color w:val="FF0000"/>
          <w:sz w:val="20"/>
        </w:rPr>
        <w:t>3</w:t>
      </w:r>
      <w:r w:rsidRPr="00D86910">
        <w:rPr>
          <w:rFonts w:ascii="Times New Roman" w:hAnsi="Times New Roman" w:cs="Times New Roman"/>
          <w:color w:val="FF0000"/>
          <w:sz w:val="20"/>
        </w:rPr>
        <w:t>]</w:t>
      </w:r>
      <w:r>
        <w:rPr>
          <w:rFonts w:ascii="Times New Roman" w:hAnsi="Times New Roman" w:cs="Times New Roman"/>
          <w:sz w:val="20"/>
        </w:rPr>
        <w:t xml:space="preserve">. We found no </w:t>
      </w:r>
      <w:r w:rsidRPr="00D86910">
        <w:rPr>
          <w:rFonts w:ascii="Times New Roman" w:hAnsi="Times New Roman" w:cs="Times New Roman"/>
          <w:sz w:val="20"/>
        </w:rPr>
        <w:t xml:space="preserve">report of agranulocytosis (ANC &lt;0.5× 109 cells/L) induced by rhinovirus or other common cold viruses occurred in adults in the PubMed database. It is highly unlikely that agranulocytosis was caused </w:t>
      </w:r>
      <w:r>
        <w:rPr>
          <w:rFonts w:ascii="Times New Roman" w:hAnsi="Times New Roman" w:cs="Times New Roman"/>
          <w:sz w:val="20"/>
        </w:rPr>
        <w:t xml:space="preserve">by common cold virus infection. </w:t>
      </w:r>
      <w:r w:rsidRPr="00D86910">
        <w:rPr>
          <w:rFonts w:ascii="Times New Roman" w:hAnsi="Times New Roman" w:cs="Times New Roman"/>
          <w:sz w:val="20"/>
        </w:rPr>
        <w:t>The mortality of drug-induced agranulocytosis is as high as 5%</w:t>
      </w:r>
      <w:r w:rsidR="003E76AA">
        <w:rPr>
          <w:rFonts w:ascii="Times New Roman" w:hAnsi="Times New Roman" w:cs="Times New Roman"/>
          <w:color w:val="FF0000"/>
          <w:sz w:val="20"/>
        </w:rPr>
        <w:t xml:space="preserve"> [2,</w:t>
      </w:r>
      <w:r w:rsidRPr="00D86910">
        <w:rPr>
          <w:rFonts w:ascii="Times New Roman" w:hAnsi="Times New Roman" w:cs="Times New Roman"/>
          <w:color w:val="FF0000"/>
          <w:sz w:val="20"/>
        </w:rPr>
        <w:t>14]</w:t>
      </w:r>
      <w:r w:rsidRPr="00D86910">
        <w:rPr>
          <w:rFonts w:ascii="Times New Roman" w:hAnsi="Times New Roman" w:cs="Times New Roman"/>
          <w:sz w:val="20"/>
        </w:rPr>
        <w:t>. However, there are no specific recommendations for patients on OPAT in detecting agranu</w:t>
      </w:r>
      <w:r>
        <w:rPr>
          <w:rFonts w:ascii="Times New Roman" w:hAnsi="Times New Roman" w:cs="Times New Roman"/>
          <w:sz w:val="20"/>
        </w:rPr>
        <w:t xml:space="preserve">locytosis early. The </w:t>
      </w:r>
      <w:r w:rsidRPr="00D86910">
        <w:rPr>
          <w:rFonts w:ascii="Times New Roman" w:hAnsi="Times New Roman" w:cs="Times New Roman"/>
          <w:sz w:val="20"/>
        </w:rPr>
        <w:t>Infectious Disease Society of America recommends laboratory test monitoring but has no specifics about the type of laboratory tests and frequen</w:t>
      </w:r>
      <w:r>
        <w:rPr>
          <w:rFonts w:ascii="Times New Roman" w:hAnsi="Times New Roman" w:cs="Times New Roman"/>
          <w:sz w:val="20"/>
        </w:rPr>
        <w:t xml:space="preserve">cy of monitoring for individual </w:t>
      </w:r>
      <w:r w:rsidRPr="00D86910">
        <w:rPr>
          <w:rFonts w:ascii="Times New Roman" w:hAnsi="Times New Roman" w:cs="Times New Roman"/>
          <w:sz w:val="20"/>
        </w:rPr>
        <w:t xml:space="preserve">antimicrobials </w:t>
      </w:r>
      <w:r w:rsidRPr="00D86910">
        <w:rPr>
          <w:rFonts w:ascii="Times New Roman" w:hAnsi="Times New Roman" w:cs="Times New Roman"/>
          <w:color w:val="FF0000"/>
          <w:sz w:val="20"/>
        </w:rPr>
        <w:t>[1</w:t>
      </w:r>
      <w:r w:rsidR="0050110C">
        <w:rPr>
          <w:rFonts w:ascii="Times New Roman" w:hAnsi="Times New Roman" w:cs="Times New Roman"/>
          <w:color w:val="FF0000"/>
          <w:sz w:val="20"/>
        </w:rPr>
        <w:t>5</w:t>
      </w:r>
      <w:r w:rsidRPr="00D86910">
        <w:rPr>
          <w:rFonts w:ascii="Times New Roman" w:hAnsi="Times New Roman" w:cs="Times New Roman"/>
          <w:color w:val="FF0000"/>
          <w:sz w:val="20"/>
        </w:rPr>
        <w:t>]</w:t>
      </w:r>
      <w:r w:rsidRPr="00D86910">
        <w:rPr>
          <w:rFonts w:ascii="Times New Roman" w:hAnsi="Times New Roman" w:cs="Times New Roman"/>
          <w:sz w:val="20"/>
        </w:rPr>
        <w:t xml:space="preserve">. UK good practice recommendations for OPAT suggest weekly laboratory monitoring for all patients without specific guidelines </w:t>
      </w:r>
      <w:r w:rsidRPr="00D86910">
        <w:rPr>
          <w:rFonts w:ascii="Times New Roman" w:hAnsi="Times New Roman" w:cs="Times New Roman"/>
          <w:color w:val="FF0000"/>
          <w:sz w:val="20"/>
        </w:rPr>
        <w:t>[1</w:t>
      </w:r>
      <w:r w:rsidR="0050110C">
        <w:rPr>
          <w:rFonts w:ascii="Times New Roman" w:hAnsi="Times New Roman" w:cs="Times New Roman"/>
          <w:color w:val="FF0000"/>
          <w:sz w:val="20"/>
        </w:rPr>
        <w:t>6</w:t>
      </w:r>
      <w:r w:rsidRPr="00D86910">
        <w:rPr>
          <w:rFonts w:ascii="Times New Roman" w:hAnsi="Times New Roman" w:cs="Times New Roman"/>
          <w:color w:val="FF0000"/>
          <w:sz w:val="20"/>
        </w:rPr>
        <w:t>]</w:t>
      </w:r>
      <w:r>
        <w:rPr>
          <w:rFonts w:ascii="Times New Roman" w:hAnsi="Times New Roman" w:cs="Times New Roman"/>
          <w:sz w:val="20"/>
        </w:rPr>
        <w:t xml:space="preserve">. The onset and incidence of </w:t>
      </w:r>
      <w:r w:rsidRPr="00D86910">
        <w:rPr>
          <w:rFonts w:ascii="Times New Roman" w:hAnsi="Times New Roman" w:cs="Times New Roman"/>
          <w:sz w:val="20"/>
        </w:rPr>
        <w:t xml:space="preserve">agranulocytosis are different among various antimicrobials. For example, the median duration of beta-lactam antibiotics exposure before onset of agranulocytosis is in a range of 19-25 days </w:t>
      </w:r>
      <w:r w:rsidRPr="00D86910">
        <w:rPr>
          <w:rFonts w:ascii="Times New Roman" w:hAnsi="Times New Roman" w:cs="Times New Roman"/>
          <w:color w:val="FF0000"/>
          <w:sz w:val="20"/>
        </w:rPr>
        <w:t>[14]</w:t>
      </w:r>
      <w:r w:rsidRPr="00D86910">
        <w:rPr>
          <w:rFonts w:ascii="Times New Roman" w:hAnsi="Times New Roman" w:cs="Times New Roman"/>
          <w:sz w:val="20"/>
        </w:rPr>
        <w:t xml:space="preserve">. In the case of vancomycin, the agranulocytosis occurs after a minimum of 7 days of treatment, with the majority occurring at least 20 days after initiation of </w:t>
      </w:r>
      <w:r>
        <w:rPr>
          <w:rFonts w:ascii="Times New Roman" w:hAnsi="Times New Roman" w:cs="Times New Roman"/>
          <w:sz w:val="20"/>
        </w:rPr>
        <w:t xml:space="preserve">treatment </w:t>
      </w:r>
      <w:r w:rsidRPr="00D86910">
        <w:rPr>
          <w:rFonts w:ascii="Times New Roman" w:hAnsi="Times New Roman" w:cs="Times New Roman"/>
          <w:color w:val="FF0000"/>
          <w:sz w:val="20"/>
        </w:rPr>
        <w:t>[1</w:t>
      </w:r>
      <w:r w:rsidR="0050110C">
        <w:rPr>
          <w:rFonts w:ascii="Times New Roman" w:hAnsi="Times New Roman" w:cs="Times New Roman"/>
          <w:color w:val="FF0000"/>
          <w:sz w:val="20"/>
        </w:rPr>
        <w:t>7</w:t>
      </w:r>
      <w:r w:rsidRPr="00D86910">
        <w:rPr>
          <w:rFonts w:ascii="Times New Roman" w:hAnsi="Times New Roman" w:cs="Times New Roman"/>
          <w:color w:val="FF0000"/>
          <w:sz w:val="20"/>
        </w:rPr>
        <w:t>]</w:t>
      </w:r>
      <w:r>
        <w:rPr>
          <w:rFonts w:ascii="Times New Roman" w:hAnsi="Times New Roman" w:cs="Times New Roman"/>
          <w:sz w:val="20"/>
        </w:rPr>
        <w:t xml:space="preserve">. In our patient, </w:t>
      </w:r>
      <w:r w:rsidRPr="00D86910">
        <w:rPr>
          <w:rFonts w:ascii="Times New Roman" w:hAnsi="Times New Roman" w:cs="Times New Roman"/>
          <w:sz w:val="20"/>
        </w:rPr>
        <w:t xml:space="preserve">agranulocytosis was found 22 days after the initiation of piperacillin-tazobactam treatment. Having no clear and specific guidelines, health care facilities monitor their patients on OPAT differently. The OPAT protocol of our institution requires weekly monitoring with CBC with differentials and CMP. A Canadian hospital starts monitoring at week 3 of antibiotic therapy while those on vancomycin at week one </w:t>
      </w:r>
      <w:r w:rsidRPr="00D86910">
        <w:rPr>
          <w:rFonts w:ascii="Times New Roman" w:hAnsi="Times New Roman" w:cs="Times New Roman"/>
          <w:color w:val="FF0000"/>
          <w:sz w:val="20"/>
        </w:rPr>
        <w:t>[6]</w:t>
      </w:r>
      <w:r w:rsidRPr="00D86910">
        <w:rPr>
          <w:rFonts w:ascii="Times New Roman" w:hAnsi="Times New Roman" w:cs="Times New Roman"/>
          <w:sz w:val="20"/>
        </w:rPr>
        <w:t>. Others have suggested that patients on a short</w:t>
      </w:r>
      <w:r>
        <w:rPr>
          <w:rFonts w:ascii="Times New Roman" w:hAnsi="Times New Roman" w:cs="Times New Roman"/>
          <w:sz w:val="20"/>
        </w:rPr>
        <w:t xml:space="preserve"> </w:t>
      </w:r>
      <w:r w:rsidRPr="00D86910">
        <w:rPr>
          <w:rFonts w:ascii="Times New Roman" w:hAnsi="Times New Roman" w:cs="Times New Roman"/>
          <w:sz w:val="20"/>
        </w:rPr>
        <w:t>duration of OPAT and using lower risk antibiotics could be</w:t>
      </w:r>
      <w:r>
        <w:rPr>
          <w:rFonts w:ascii="Times New Roman" w:hAnsi="Times New Roman" w:cs="Times New Roman"/>
          <w:sz w:val="20"/>
        </w:rPr>
        <w:t xml:space="preserve"> followed with less frequent </w:t>
      </w:r>
      <w:r w:rsidRPr="00D86910">
        <w:rPr>
          <w:rFonts w:ascii="Times New Roman" w:hAnsi="Times New Roman" w:cs="Times New Roman"/>
          <w:sz w:val="20"/>
        </w:rPr>
        <w:t xml:space="preserve">laboratory tests </w:t>
      </w:r>
      <w:r w:rsidRPr="00D86910">
        <w:rPr>
          <w:rFonts w:ascii="Times New Roman" w:hAnsi="Times New Roman" w:cs="Times New Roman"/>
          <w:color w:val="FF0000"/>
          <w:sz w:val="20"/>
        </w:rPr>
        <w:t>[1</w:t>
      </w:r>
      <w:r w:rsidR="0050110C">
        <w:rPr>
          <w:rFonts w:ascii="Times New Roman" w:hAnsi="Times New Roman" w:cs="Times New Roman"/>
          <w:color w:val="FF0000"/>
          <w:sz w:val="20"/>
        </w:rPr>
        <w:t>8</w:t>
      </w:r>
      <w:r w:rsidRPr="00D86910">
        <w:rPr>
          <w:rFonts w:ascii="Times New Roman" w:hAnsi="Times New Roman" w:cs="Times New Roman"/>
          <w:color w:val="FF0000"/>
          <w:sz w:val="20"/>
        </w:rPr>
        <w:t>]</w:t>
      </w:r>
      <w:r w:rsidRPr="00D86910">
        <w:rPr>
          <w:rFonts w:ascii="Times New Roman" w:hAnsi="Times New Roman" w:cs="Times New Roman"/>
          <w:sz w:val="20"/>
        </w:rPr>
        <w:t>. As more patients are using OPAT for complicated infections, it may well be time to develop specific guidelines.</w:t>
      </w:r>
    </w:p>
    <w:p w14:paraId="01165771" w14:textId="77777777" w:rsidR="00D86910" w:rsidRPr="00D86910" w:rsidRDefault="00D86910" w:rsidP="000154A4">
      <w:pPr>
        <w:spacing w:after="0" w:line="240" w:lineRule="auto"/>
        <w:jc w:val="both"/>
        <w:rPr>
          <w:rFonts w:ascii="Times New Roman" w:hAnsi="Times New Roman" w:cs="Times New Roman"/>
          <w:sz w:val="20"/>
        </w:rPr>
      </w:pPr>
    </w:p>
    <w:p w14:paraId="51252819" w14:textId="77777777" w:rsidR="00D86910" w:rsidRPr="00D86910" w:rsidRDefault="00D86910" w:rsidP="000154A4">
      <w:pPr>
        <w:spacing w:after="0" w:line="240" w:lineRule="auto"/>
        <w:jc w:val="both"/>
        <w:rPr>
          <w:rFonts w:ascii="Times New Roman" w:hAnsi="Times New Roman" w:cs="Times New Roman"/>
          <w:b/>
        </w:rPr>
      </w:pPr>
      <w:r w:rsidRPr="00D86910">
        <w:rPr>
          <w:rFonts w:ascii="Times New Roman" w:hAnsi="Times New Roman" w:cs="Times New Roman"/>
          <w:b/>
        </w:rPr>
        <w:t>Conclusion</w:t>
      </w:r>
    </w:p>
    <w:p w14:paraId="19801AB5" w14:textId="77777777" w:rsidR="00D86910" w:rsidRPr="00D86910" w:rsidRDefault="00D86910" w:rsidP="000154A4">
      <w:pPr>
        <w:spacing w:after="0" w:line="240" w:lineRule="auto"/>
        <w:jc w:val="both"/>
        <w:rPr>
          <w:rFonts w:ascii="Times New Roman" w:hAnsi="Times New Roman" w:cs="Times New Roman"/>
          <w:sz w:val="20"/>
        </w:rPr>
      </w:pPr>
    </w:p>
    <w:p w14:paraId="628D459A" w14:textId="77777777" w:rsidR="00D86910" w:rsidRDefault="00D86910" w:rsidP="000154A4">
      <w:pPr>
        <w:spacing w:after="0" w:line="240" w:lineRule="auto"/>
        <w:jc w:val="both"/>
        <w:rPr>
          <w:rFonts w:ascii="Times New Roman" w:hAnsi="Times New Roman" w:cs="Times New Roman"/>
          <w:sz w:val="20"/>
        </w:rPr>
      </w:pPr>
      <w:r w:rsidRPr="00D86910">
        <w:rPr>
          <w:rFonts w:ascii="Times New Roman" w:hAnsi="Times New Roman" w:cs="Times New Roman"/>
          <w:sz w:val="20"/>
        </w:rPr>
        <w:t>We report a case of agranulocytosis induced by piperacillin-tazobactam which is one of the most commonly used antibiotics. Agranulocytosis may be asymptomatic, but is often accompanied by fever, sore throat and mouth ulcers. Our patient developed e</w:t>
      </w:r>
      <w:r>
        <w:rPr>
          <w:rFonts w:ascii="Times New Roman" w:hAnsi="Times New Roman" w:cs="Times New Roman"/>
          <w:sz w:val="20"/>
        </w:rPr>
        <w:t xml:space="preserve">xtreme body aches about 3 weeks </w:t>
      </w:r>
      <w:r w:rsidRPr="00D86910">
        <w:rPr>
          <w:rFonts w:ascii="Times New Roman" w:hAnsi="Times New Roman" w:cs="Times New Roman"/>
          <w:sz w:val="20"/>
        </w:rPr>
        <w:t>after initiation of home piperacillin/tazobactam given for severe invasive ear infection, which lead her to go to the ER where agranulocytosis was discovered. As severe body pain is not a usual symptom of agranulocytosis, clinicians should be aware that agranulocytosis may be manifested by atypical symptoms. Our patient received the antibiotic via home-based OPAT, which is more frequently utilized, but lacks close monitoring of patients for early detection of complications. Currently there are no detailed guideline</w:t>
      </w:r>
      <w:r>
        <w:rPr>
          <w:rFonts w:ascii="Times New Roman" w:hAnsi="Times New Roman" w:cs="Times New Roman"/>
          <w:sz w:val="20"/>
        </w:rPr>
        <w:t xml:space="preserve">s for OPAT specifying the type, </w:t>
      </w:r>
      <w:r w:rsidRPr="00D86910">
        <w:rPr>
          <w:rFonts w:ascii="Times New Roman" w:hAnsi="Times New Roman" w:cs="Times New Roman"/>
          <w:sz w:val="20"/>
        </w:rPr>
        <w:t>frequency and duration of the laboratory tests for individual antim</w:t>
      </w:r>
      <w:r>
        <w:rPr>
          <w:rFonts w:ascii="Times New Roman" w:hAnsi="Times New Roman" w:cs="Times New Roman"/>
          <w:sz w:val="20"/>
        </w:rPr>
        <w:t xml:space="preserve">icrobials. It may be reasonable </w:t>
      </w:r>
      <w:r w:rsidRPr="00D86910">
        <w:rPr>
          <w:rFonts w:ascii="Times New Roman" w:hAnsi="Times New Roman" w:cs="Times New Roman"/>
          <w:sz w:val="20"/>
        </w:rPr>
        <w:t>to develop more specific guidelines for antimicrobials known to cause agranulocytosis or other morbid complications.</w:t>
      </w:r>
    </w:p>
    <w:p w14:paraId="7D618007" w14:textId="77777777" w:rsidR="00355B94" w:rsidRDefault="00355B94" w:rsidP="000154A4">
      <w:pPr>
        <w:spacing w:after="0" w:line="240" w:lineRule="auto"/>
        <w:jc w:val="both"/>
        <w:rPr>
          <w:rFonts w:ascii="Times New Roman" w:hAnsi="Times New Roman" w:cs="Times New Roman"/>
          <w:sz w:val="20"/>
        </w:rPr>
      </w:pPr>
    </w:p>
    <w:p w14:paraId="72418B52" w14:textId="564A05E3" w:rsidR="00355B94" w:rsidRPr="00355B94" w:rsidRDefault="00355B94" w:rsidP="000154A4">
      <w:pPr>
        <w:spacing w:after="0" w:line="240" w:lineRule="auto"/>
        <w:jc w:val="both"/>
        <w:rPr>
          <w:rFonts w:ascii="Times New Roman" w:hAnsi="Times New Roman" w:cs="Times New Roman"/>
          <w:b/>
          <w:bCs/>
          <w:sz w:val="20"/>
        </w:rPr>
      </w:pPr>
      <w:r w:rsidRPr="00355B94">
        <w:rPr>
          <w:rFonts w:ascii="Times New Roman" w:hAnsi="Times New Roman" w:cs="Times New Roman"/>
          <w:b/>
          <w:bCs/>
          <w:sz w:val="20"/>
        </w:rPr>
        <w:t>Declarations</w:t>
      </w:r>
    </w:p>
    <w:p w14:paraId="60B41975" w14:textId="77777777" w:rsidR="00D86910" w:rsidRPr="00D86910" w:rsidRDefault="00D86910" w:rsidP="000154A4">
      <w:pPr>
        <w:spacing w:after="0" w:line="240" w:lineRule="auto"/>
        <w:jc w:val="both"/>
        <w:rPr>
          <w:rFonts w:ascii="Times New Roman" w:hAnsi="Times New Roman" w:cs="Times New Roman"/>
          <w:sz w:val="20"/>
        </w:rPr>
      </w:pPr>
    </w:p>
    <w:p w14:paraId="784188A6" w14:textId="77777777" w:rsidR="00D86910" w:rsidRPr="00D86910" w:rsidRDefault="00D86910" w:rsidP="000154A4">
      <w:pPr>
        <w:spacing w:after="0" w:line="240" w:lineRule="auto"/>
        <w:jc w:val="both"/>
        <w:rPr>
          <w:rFonts w:ascii="Times New Roman" w:hAnsi="Times New Roman" w:cs="Times New Roman"/>
          <w:sz w:val="20"/>
        </w:rPr>
      </w:pPr>
      <w:r w:rsidRPr="00D86910">
        <w:rPr>
          <w:rFonts w:ascii="Times New Roman" w:hAnsi="Times New Roman" w:cs="Times New Roman"/>
          <w:b/>
        </w:rPr>
        <w:t xml:space="preserve">Contributors: </w:t>
      </w:r>
      <w:r w:rsidRPr="00D86910">
        <w:rPr>
          <w:rFonts w:ascii="Times New Roman" w:hAnsi="Times New Roman" w:cs="Times New Roman"/>
          <w:sz w:val="20"/>
        </w:rPr>
        <w:t>All authors contributed to planning, literature review and conduct of the review article. All authors have reviewed and agreed on the final manuscript.</w:t>
      </w:r>
    </w:p>
    <w:p w14:paraId="4C188F07" w14:textId="77777777" w:rsidR="00D86910" w:rsidRDefault="00D86910" w:rsidP="000154A4">
      <w:pPr>
        <w:spacing w:after="0" w:line="240" w:lineRule="auto"/>
        <w:jc w:val="both"/>
        <w:rPr>
          <w:rFonts w:ascii="Times New Roman" w:hAnsi="Times New Roman" w:cs="Times New Roman"/>
          <w:sz w:val="20"/>
        </w:rPr>
      </w:pPr>
    </w:p>
    <w:p w14:paraId="6533E5AB" w14:textId="104CB3A0" w:rsidR="00D86910" w:rsidRPr="00D86910" w:rsidRDefault="00D86910" w:rsidP="000154A4">
      <w:pPr>
        <w:spacing w:after="0" w:line="240" w:lineRule="auto"/>
        <w:jc w:val="both"/>
        <w:rPr>
          <w:rFonts w:ascii="Times New Roman" w:hAnsi="Times New Roman" w:cs="Times New Roman"/>
          <w:sz w:val="20"/>
        </w:rPr>
      </w:pPr>
      <w:r w:rsidRPr="00D86910">
        <w:rPr>
          <w:rFonts w:ascii="Times New Roman" w:hAnsi="Times New Roman" w:cs="Times New Roman"/>
          <w:b/>
        </w:rPr>
        <w:t xml:space="preserve">Competing </w:t>
      </w:r>
      <w:r w:rsidR="00355B94">
        <w:rPr>
          <w:rFonts w:ascii="Times New Roman" w:hAnsi="Times New Roman" w:cs="Times New Roman"/>
          <w:b/>
        </w:rPr>
        <w:t>i</w:t>
      </w:r>
      <w:r w:rsidRPr="00D86910">
        <w:rPr>
          <w:rFonts w:ascii="Times New Roman" w:hAnsi="Times New Roman" w:cs="Times New Roman"/>
          <w:b/>
        </w:rPr>
        <w:t>nterests:</w:t>
      </w:r>
      <w:r w:rsidRPr="00D86910">
        <w:rPr>
          <w:rFonts w:ascii="Times New Roman" w:hAnsi="Times New Roman" w:cs="Times New Roman"/>
          <w:sz w:val="20"/>
        </w:rPr>
        <w:t xml:space="preserve"> None</w:t>
      </w:r>
    </w:p>
    <w:p w14:paraId="12FEC111" w14:textId="77777777" w:rsidR="00D86910" w:rsidRDefault="00D86910" w:rsidP="000154A4">
      <w:pPr>
        <w:spacing w:after="0" w:line="240" w:lineRule="auto"/>
        <w:jc w:val="both"/>
        <w:rPr>
          <w:rFonts w:ascii="Times New Roman" w:hAnsi="Times New Roman" w:cs="Times New Roman"/>
          <w:sz w:val="20"/>
        </w:rPr>
      </w:pPr>
    </w:p>
    <w:p w14:paraId="52416AE3" w14:textId="7B4C8DD0" w:rsidR="00D86910" w:rsidRPr="00D86910" w:rsidRDefault="00D86910" w:rsidP="00355B94">
      <w:pPr>
        <w:spacing w:after="0" w:line="240" w:lineRule="auto"/>
        <w:jc w:val="both"/>
        <w:rPr>
          <w:rFonts w:ascii="Times New Roman" w:hAnsi="Times New Roman" w:cs="Times New Roman"/>
          <w:sz w:val="20"/>
        </w:rPr>
      </w:pPr>
      <w:r w:rsidRPr="00D86910">
        <w:rPr>
          <w:rFonts w:ascii="Times New Roman" w:hAnsi="Times New Roman" w:cs="Times New Roman"/>
          <w:b/>
        </w:rPr>
        <w:t>Patient consent for publication:</w:t>
      </w:r>
      <w:r w:rsidRPr="00D86910">
        <w:rPr>
          <w:rFonts w:ascii="Times New Roman" w:hAnsi="Times New Roman" w:cs="Times New Roman"/>
          <w:sz w:val="20"/>
        </w:rPr>
        <w:t xml:space="preserve"> </w:t>
      </w:r>
      <w:r w:rsidR="00355B94" w:rsidRPr="00355B94">
        <w:rPr>
          <w:rFonts w:ascii="Times New Roman" w:hAnsi="Times New Roman" w:cs="Times New Roman"/>
          <w:sz w:val="20"/>
        </w:rPr>
        <w:t>Informed consent was obtained from the patient, consent form available upon</w:t>
      </w:r>
      <w:r w:rsidR="00355B94">
        <w:rPr>
          <w:rFonts w:ascii="Times New Roman" w:hAnsi="Times New Roman" w:cs="Times New Roman"/>
          <w:sz w:val="20"/>
        </w:rPr>
        <w:t xml:space="preserve"> </w:t>
      </w:r>
      <w:r w:rsidR="00355B94" w:rsidRPr="00355B94">
        <w:rPr>
          <w:rFonts w:ascii="Times New Roman" w:hAnsi="Times New Roman" w:cs="Times New Roman"/>
          <w:sz w:val="20"/>
        </w:rPr>
        <w:t>request</w:t>
      </w:r>
      <w:r w:rsidR="00355B94">
        <w:rPr>
          <w:rFonts w:ascii="Times New Roman" w:hAnsi="Times New Roman" w:cs="Times New Roman"/>
          <w:sz w:val="20"/>
        </w:rPr>
        <w:t xml:space="preserve"> / </w:t>
      </w:r>
      <w:r w:rsidR="00355B94" w:rsidRPr="00355B94">
        <w:rPr>
          <w:rFonts w:ascii="Times New Roman" w:hAnsi="Times New Roman" w:cs="Times New Roman"/>
          <w:sz w:val="20"/>
        </w:rPr>
        <w:t>Not applicable</w:t>
      </w:r>
    </w:p>
    <w:p w14:paraId="32AE6BC5" w14:textId="77777777" w:rsidR="00D86910" w:rsidRPr="00D86910" w:rsidRDefault="00D86910" w:rsidP="000154A4">
      <w:pPr>
        <w:spacing w:after="0" w:line="240" w:lineRule="auto"/>
        <w:jc w:val="both"/>
        <w:rPr>
          <w:rFonts w:ascii="Times New Roman" w:hAnsi="Times New Roman" w:cs="Times New Roman"/>
          <w:sz w:val="20"/>
        </w:rPr>
      </w:pPr>
    </w:p>
    <w:p w14:paraId="68692E38" w14:textId="1593F711" w:rsidR="00D86910" w:rsidRDefault="00355B94" w:rsidP="000154A4">
      <w:pPr>
        <w:spacing w:after="0" w:line="240" w:lineRule="auto"/>
        <w:jc w:val="both"/>
        <w:rPr>
          <w:rFonts w:ascii="Times New Roman" w:hAnsi="Times New Roman" w:cs="Times New Roman"/>
          <w:sz w:val="20"/>
        </w:rPr>
      </w:pPr>
      <w:r w:rsidRPr="00355B94">
        <w:rPr>
          <w:rFonts w:ascii="Times New Roman" w:hAnsi="Times New Roman" w:cs="Times New Roman"/>
          <w:b/>
        </w:rPr>
        <w:t>Ethics approval and consent to participate</w:t>
      </w:r>
      <w:r w:rsidR="00D86910" w:rsidRPr="00D86910">
        <w:rPr>
          <w:rFonts w:ascii="Times New Roman" w:hAnsi="Times New Roman" w:cs="Times New Roman"/>
          <w:b/>
        </w:rPr>
        <w:t xml:space="preserve">: </w:t>
      </w:r>
      <w:r w:rsidR="00D86910" w:rsidRPr="00D86910">
        <w:rPr>
          <w:rFonts w:ascii="Times New Roman" w:hAnsi="Times New Roman" w:cs="Times New Roman"/>
          <w:sz w:val="20"/>
        </w:rPr>
        <w:t>Ethical approval for this publication by IRB at Kern Medical</w:t>
      </w:r>
      <w:r>
        <w:rPr>
          <w:rFonts w:ascii="Times New Roman" w:hAnsi="Times New Roman" w:cs="Times New Roman"/>
          <w:sz w:val="20"/>
        </w:rPr>
        <w:t xml:space="preserve"> / </w:t>
      </w:r>
      <w:r w:rsidRPr="00355B94">
        <w:rPr>
          <w:rFonts w:ascii="Times New Roman" w:hAnsi="Times New Roman" w:cs="Times New Roman"/>
          <w:sz w:val="20"/>
        </w:rPr>
        <w:t>Not applicable</w:t>
      </w:r>
    </w:p>
    <w:p w14:paraId="15F59A73" w14:textId="77777777" w:rsidR="00E25E1F" w:rsidRDefault="00E25E1F" w:rsidP="000154A4">
      <w:pPr>
        <w:spacing w:after="0" w:line="240" w:lineRule="auto"/>
        <w:jc w:val="both"/>
        <w:rPr>
          <w:rFonts w:ascii="Times New Roman" w:hAnsi="Times New Roman" w:cs="Times New Roman"/>
          <w:sz w:val="20"/>
        </w:rPr>
      </w:pPr>
    </w:p>
    <w:p w14:paraId="5BAADB49" w14:textId="7F251258" w:rsidR="00E25E1F" w:rsidRDefault="00E25E1F" w:rsidP="000154A4">
      <w:pPr>
        <w:spacing w:after="0" w:line="240" w:lineRule="auto"/>
        <w:jc w:val="both"/>
        <w:rPr>
          <w:rFonts w:ascii="Times New Roman" w:hAnsi="Times New Roman" w:cs="Times New Roman"/>
          <w:sz w:val="20"/>
        </w:rPr>
      </w:pPr>
      <w:r w:rsidRPr="00E25E1F">
        <w:rPr>
          <w:rFonts w:ascii="Times New Roman" w:hAnsi="Times New Roman" w:cs="Times New Roman"/>
          <w:b/>
          <w:bCs/>
          <w:sz w:val="20"/>
        </w:rPr>
        <w:t>Availability of data and materials:</w:t>
      </w:r>
      <w:r w:rsidRPr="00E25E1F">
        <w:rPr>
          <w:rFonts w:ascii="Times New Roman" w:hAnsi="Times New Roman" w:cs="Times New Roman"/>
          <w:sz w:val="20"/>
        </w:rPr>
        <w:t xml:space="preserve"> Not applicable</w:t>
      </w:r>
    </w:p>
    <w:p w14:paraId="78C0E5E4" w14:textId="77777777" w:rsidR="00355B94" w:rsidRDefault="00355B94" w:rsidP="000154A4">
      <w:pPr>
        <w:spacing w:after="0" w:line="240" w:lineRule="auto"/>
        <w:jc w:val="both"/>
        <w:rPr>
          <w:rFonts w:ascii="Times New Roman" w:hAnsi="Times New Roman" w:cs="Times New Roman"/>
          <w:sz w:val="20"/>
        </w:rPr>
      </w:pPr>
    </w:p>
    <w:p w14:paraId="0F1A5074" w14:textId="0B620721" w:rsidR="00355B94" w:rsidRDefault="00355B94" w:rsidP="000154A4">
      <w:pPr>
        <w:spacing w:after="0" w:line="240" w:lineRule="auto"/>
        <w:jc w:val="both"/>
        <w:rPr>
          <w:rFonts w:ascii="Times New Roman" w:hAnsi="Times New Roman" w:cs="Times New Roman"/>
          <w:sz w:val="20"/>
        </w:rPr>
      </w:pPr>
      <w:r w:rsidRPr="00D86910">
        <w:rPr>
          <w:rFonts w:ascii="Times New Roman" w:hAnsi="Times New Roman" w:cs="Times New Roman"/>
          <w:b/>
        </w:rPr>
        <w:lastRenderedPageBreak/>
        <w:t xml:space="preserve">Funding: </w:t>
      </w:r>
      <w:r w:rsidR="009636AE">
        <w:rPr>
          <w:rFonts w:ascii="Times New Roman" w:hAnsi="Times New Roman" w:cs="Times New Roman"/>
          <w:sz w:val="20"/>
        </w:rPr>
        <w:t>Received From…/ N</w:t>
      </w:r>
      <w:r w:rsidRPr="00D86910">
        <w:rPr>
          <w:rFonts w:ascii="Times New Roman" w:hAnsi="Times New Roman" w:cs="Times New Roman"/>
          <w:sz w:val="20"/>
        </w:rPr>
        <w:t xml:space="preserve">one from any funding agency in the public, commercial or not-for-profit sectors. </w:t>
      </w:r>
      <w:r>
        <w:rPr>
          <w:rFonts w:ascii="Times New Roman" w:hAnsi="Times New Roman" w:cs="Times New Roman"/>
          <w:sz w:val="20"/>
        </w:rPr>
        <w:t xml:space="preserve">/ </w:t>
      </w:r>
      <w:r w:rsidRPr="00355B94">
        <w:rPr>
          <w:rFonts w:ascii="Times New Roman" w:hAnsi="Times New Roman" w:cs="Times New Roman"/>
          <w:sz w:val="20"/>
        </w:rPr>
        <w:t>Not applicable</w:t>
      </w:r>
      <w:r w:rsidR="009636AE">
        <w:rPr>
          <w:rFonts w:ascii="Times New Roman" w:hAnsi="Times New Roman" w:cs="Times New Roman"/>
          <w:sz w:val="20"/>
        </w:rPr>
        <w:t>/No Funding</w:t>
      </w:r>
    </w:p>
    <w:p w14:paraId="261F0964" w14:textId="77777777" w:rsidR="00D86910" w:rsidRPr="00D86910" w:rsidRDefault="00D86910" w:rsidP="000154A4">
      <w:pPr>
        <w:spacing w:after="0" w:line="240" w:lineRule="auto"/>
        <w:jc w:val="both"/>
        <w:rPr>
          <w:rFonts w:ascii="Times New Roman" w:hAnsi="Times New Roman" w:cs="Times New Roman"/>
          <w:sz w:val="20"/>
        </w:rPr>
      </w:pPr>
    </w:p>
    <w:p w14:paraId="0FB7FC26" w14:textId="77777777" w:rsidR="00D86910" w:rsidRDefault="00D86910" w:rsidP="00355B94">
      <w:pPr>
        <w:spacing w:after="0" w:line="240" w:lineRule="auto"/>
        <w:rPr>
          <w:rFonts w:ascii="Times New Roman" w:hAnsi="Times New Roman" w:cs="Times New Roman"/>
          <w:b/>
        </w:rPr>
      </w:pPr>
      <w:r w:rsidRPr="00D86910">
        <w:rPr>
          <w:rFonts w:ascii="Times New Roman" w:hAnsi="Times New Roman" w:cs="Times New Roman"/>
          <w:b/>
        </w:rPr>
        <w:t>References</w:t>
      </w:r>
    </w:p>
    <w:p w14:paraId="205107D6" w14:textId="77777777" w:rsidR="00FB24FB" w:rsidRPr="00FB24FB" w:rsidRDefault="00FB24FB" w:rsidP="000154A4">
      <w:pPr>
        <w:spacing w:after="0" w:line="240" w:lineRule="auto"/>
        <w:jc w:val="both"/>
        <w:rPr>
          <w:rFonts w:ascii="Times New Roman" w:hAnsi="Times New Roman" w:cs="Times New Roman"/>
          <w:sz w:val="20"/>
        </w:rPr>
      </w:pPr>
    </w:p>
    <w:p w14:paraId="5FA661E6"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9" w:history="1">
        <w:r w:rsidR="00FB24FB" w:rsidRPr="006F655E">
          <w:rPr>
            <w:rStyle w:val="Hyperlink"/>
            <w:rFonts w:ascii="Times New Roman" w:hAnsi="Times New Roman" w:cs="Times New Roman"/>
            <w:color w:val="auto"/>
            <w:sz w:val="20"/>
            <w:u w:val="none"/>
          </w:rPr>
          <w:t xml:space="preserve">Rattay B, </w:t>
        </w:r>
        <w:proofErr w:type="spellStart"/>
        <w:r w:rsidR="00FB24FB" w:rsidRPr="006F655E">
          <w:rPr>
            <w:rStyle w:val="Hyperlink"/>
            <w:rFonts w:ascii="Times New Roman" w:hAnsi="Times New Roman" w:cs="Times New Roman"/>
            <w:color w:val="auto"/>
            <w:sz w:val="20"/>
            <w:u w:val="none"/>
          </w:rPr>
          <w:t>Benndorf</w:t>
        </w:r>
        <w:proofErr w:type="spellEnd"/>
        <w:r w:rsidR="00FB24FB" w:rsidRPr="006F655E">
          <w:rPr>
            <w:rStyle w:val="Hyperlink"/>
            <w:rFonts w:ascii="Times New Roman" w:hAnsi="Times New Roman" w:cs="Times New Roman"/>
            <w:color w:val="auto"/>
            <w:sz w:val="20"/>
            <w:u w:val="none"/>
          </w:rPr>
          <w:t xml:space="preserve"> RA. </w:t>
        </w:r>
        <w:r w:rsidR="006F655E" w:rsidRPr="006F655E">
          <w:rPr>
            <w:rStyle w:val="Hyperlink"/>
            <w:rFonts w:ascii="Times New Roman" w:hAnsi="Times New Roman" w:cs="Times New Roman"/>
            <w:color w:val="auto"/>
            <w:sz w:val="20"/>
            <w:u w:val="none"/>
          </w:rPr>
          <w:t xml:space="preserve">(2021) </w:t>
        </w:r>
        <w:r w:rsidR="00FB24FB" w:rsidRPr="006F655E">
          <w:rPr>
            <w:rStyle w:val="Hyperlink"/>
            <w:rFonts w:ascii="Times New Roman" w:hAnsi="Times New Roman" w:cs="Times New Roman"/>
            <w:color w:val="auto"/>
            <w:sz w:val="20"/>
            <w:u w:val="none"/>
          </w:rPr>
          <w:t xml:space="preserve">Drug-Induced Idiosyncratic Agranulocytosis - Infrequent but Dangerous. Front </w:t>
        </w:r>
        <w:proofErr w:type="spellStart"/>
        <w:r w:rsidR="00FB24FB" w:rsidRPr="006F655E">
          <w:rPr>
            <w:rStyle w:val="Hyperlink"/>
            <w:rFonts w:ascii="Times New Roman" w:hAnsi="Times New Roman" w:cs="Times New Roman"/>
            <w:color w:val="auto"/>
            <w:sz w:val="20"/>
            <w:u w:val="none"/>
          </w:rPr>
          <w:t>Pharmacol</w:t>
        </w:r>
        <w:proofErr w:type="spellEnd"/>
        <w:r w:rsidR="00FB24FB" w:rsidRPr="006F655E">
          <w:rPr>
            <w:rStyle w:val="Hyperlink"/>
            <w:rFonts w:ascii="Times New Roman" w:hAnsi="Times New Roman" w:cs="Times New Roman"/>
            <w:color w:val="auto"/>
            <w:sz w:val="20"/>
            <w:u w:val="none"/>
          </w:rPr>
          <w:t>. 12:727717.</w:t>
        </w:r>
      </w:hyperlink>
      <w:r w:rsidR="00FB24FB" w:rsidRPr="006F655E">
        <w:rPr>
          <w:rFonts w:ascii="Times New Roman" w:hAnsi="Times New Roman" w:cs="Times New Roman"/>
          <w:sz w:val="20"/>
        </w:rPr>
        <w:t xml:space="preserve"> </w:t>
      </w:r>
    </w:p>
    <w:p w14:paraId="0D06A780"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10" w:history="1">
        <w:r w:rsidR="00FB24FB" w:rsidRPr="006F655E">
          <w:rPr>
            <w:rStyle w:val="Hyperlink"/>
            <w:rFonts w:ascii="Times New Roman" w:hAnsi="Times New Roman" w:cs="Times New Roman"/>
            <w:color w:val="auto"/>
            <w:sz w:val="20"/>
            <w:u w:val="none"/>
          </w:rPr>
          <w:t xml:space="preserve">Newburger PE. </w:t>
        </w:r>
        <w:r w:rsidR="006F655E" w:rsidRPr="006F655E">
          <w:rPr>
            <w:rStyle w:val="Hyperlink"/>
            <w:rFonts w:ascii="Times New Roman" w:hAnsi="Times New Roman" w:cs="Times New Roman"/>
            <w:color w:val="auto"/>
            <w:sz w:val="20"/>
            <w:u w:val="none"/>
          </w:rPr>
          <w:t xml:space="preserve">(2016) </w:t>
        </w:r>
        <w:r w:rsidR="00FB24FB" w:rsidRPr="006F655E">
          <w:rPr>
            <w:rStyle w:val="Hyperlink"/>
            <w:rFonts w:ascii="Times New Roman" w:hAnsi="Times New Roman" w:cs="Times New Roman"/>
            <w:color w:val="auto"/>
            <w:sz w:val="20"/>
            <w:u w:val="none"/>
          </w:rPr>
          <w:t xml:space="preserve">Autoimmune and other acquired </w:t>
        </w:r>
        <w:proofErr w:type="spellStart"/>
        <w:r w:rsidR="00FB24FB" w:rsidRPr="006F655E">
          <w:rPr>
            <w:rStyle w:val="Hyperlink"/>
            <w:rFonts w:ascii="Times New Roman" w:hAnsi="Times New Roman" w:cs="Times New Roman"/>
            <w:color w:val="auto"/>
            <w:sz w:val="20"/>
            <w:u w:val="none"/>
          </w:rPr>
          <w:t>neutropenias</w:t>
        </w:r>
        <w:proofErr w:type="spellEnd"/>
        <w:r w:rsidR="00FB24FB" w:rsidRPr="006F655E">
          <w:rPr>
            <w:rStyle w:val="Hyperlink"/>
            <w:rFonts w:ascii="Times New Roman" w:hAnsi="Times New Roman" w:cs="Times New Roman"/>
            <w:color w:val="auto"/>
            <w:sz w:val="20"/>
            <w:u w:val="none"/>
          </w:rPr>
          <w:t xml:space="preserve">. </w:t>
        </w:r>
        <w:proofErr w:type="spellStart"/>
        <w:r w:rsidR="00FB24FB" w:rsidRPr="006F655E">
          <w:rPr>
            <w:rStyle w:val="Hyperlink"/>
            <w:rFonts w:ascii="Times New Roman" w:hAnsi="Times New Roman" w:cs="Times New Roman"/>
            <w:color w:val="auto"/>
            <w:sz w:val="20"/>
            <w:u w:val="none"/>
          </w:rPr>
          <w:t>Hematology</w:t>
        </w:r>
        <w:proofErr w:type="spellEnd"/>
        <w:r w:rsidR="00FB24FB" w:rsidRPr="006F655E">
          <w:rPr>
            <w:rStyle w:val="Hyperlink"/>
            <w:rFonts w:ascii="Times New Roman" w:hAnsi="Times New Roman" w:cs="Times New Roman"/>
            <w:color w:val="auto"/>
            <w:sz w:val="20"/>
            <w:u w:val="none"/>
          </w:rPr>
          <w:t xml:space="preserve"> Am Soc </w:t>
        </w:r>
        <w:proofErr w:type="spellStart"/>
        <w:r w:rsidR="00FB24FB" w:rsidRPr="006F655E">
          <w:rPr>
            <w:rStyle w:val="Hyperlink"/>
            <w:rFonts w:ascii="Times New Roman" w:hAnsi="Times New Roman" w:cs="Times New Roman"/>
            <w:color w:val="auto"/>
            <w:sz w:val="20"/>
            <w:u w:val="none"/>
          </w:rPr>
          <w:t>Hemat</w:t>
        </w:r>
        <w:r w:rsidR="006F655E" w:rsidRPr="006F655E">
          <w:rPr>
            <w:rStyle w:val="Hyperlink"/>
            <w:rFonts w:ascii="Times New Roman" w:hAnsi="Times New Roman" w:cs="Times New Roman"/>
            <w:color w:val="auto"/>
            <w:sz w:val="20"/>
            <w:u w:val="none"/>
          </w:rPr>
          <w:t>ol</w:t>
        </w:r>
        <w:proofErr w:type="spellEnd"/>
        <w:r w:rsidR="006F655E" w:rsidRPr="006F655E">
          <w:rPr>
            <w:rStyle w:val="Hyperlink"/>
            <w:rFonts w:ascii="Times New Roman" w:hAnsi="Times New Roman" w:cs="Times New Roman"/>
            <w:color w:val="auto"/>
            <w:sz w:val="20"/>
            <w:u w:val="none"/>
          </w:rPr>
          <w:t xml:space="preserve"> </w:t>
        </w:r>
        <w:proofErr w:type="spellStart"/>
        <w:r w:rsidR="006F655E" w:rsidRPr="006F655E">
          <w:rPr>
            <w:rStyle w:val="Hyperlink"/>
            <w:rFonts w:ascii="Times New Roman" w:hAnsi="Times New Roman" w:cs="Times New Roman"/>
            <w:color w:val="auto"/>
            <w:sz w:val="20"/>
            <w:u w:val="none"/>
          </w:rPr>
          <w:t>Educ</w:t>
        </w:r>
        <w:proofErr w:type="spellEnd"/>
        <w:r w:rsidR="006F655E" w:rsidRPr="006F655E">
          <w:rPr>
            <w:rStyle w:val="Hyperlink"/>
            <w:rFonts w:ascii="Times New Roman" w:hAnsi="Times New Roman" w:cs="Times New Roman"/>
            <w:color w:val="auto"/>
            <w:sz w:val="20"/>
            <w:u w:val="none"/>
          </w:rPr>
          <w:t xml:space="preserve"> Program. 1: 38-42.</w:t>
        </w:r>
      </w:hyperlink>
    </w:p>
    <w:p w14:paraId="53547F0A"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11" w:history="1">
        <w:r w:rsidR="006F655E" w:rsidRPr="006F655E">
          <w:rPr>
            <w:rStyle w:val="Hyperlink"/>
            <w:rFonts w:ascii="Times New Roman" w:hAnsi="Times New Roman" w:cs="Times New Roman"/>
            <w:color w:val="auto"/>
            <w:sz w:val="20"/>
            <w:u w:val="none"/>
          </w:rPr>
          <w:t xml:space="preserve">Stamer U. M, Gundert-Remy U, Biermann E, </w:t>
        </w:r>
        <w:proofErr w:type="spellStart"/>
        <w:r w:rsidR="006F655E" w:rsidRPr="006F655E">
          <w:rPr>
            <w:rStyle w:val="Hyperlink"/>
            <w:rFonts w:ascii="Times New Roman" w:hAnsi="Times New Roman" w:cs="Times New Roman"/>
            <w:color w:val="auto"/>
            <w:sz w:val="20"/>
            <w:u w:val="none"/>
          </w:rPr>
          <w:t>Erlenwein</w:t>
        </w:r>
        <w:proofErr w:type="spellEnd"/>
        <w:r w:rsidR="006F655E" w:rsidRPr="006F655E">
          <w:rPr>
            <w:rStyle w:val="Hyperlink"/>
            <w:rFonts w:ascii="Times New Roman" w:hAnsi="Times New Roman" w:cs="Times New Roman"/>
            <w:color w:val="auto"/>
            <w:sz w:val="20"/>
            <w:u w:val="none"/>
          </w:rPr>
          <w:t xml:space="preserve"> J, Meiβ</w:t>
        </w:r>
        <w:proofErr w:type="spellStart"/>
        <w:r w:rsidR="006F655E" w:rsidRPr="006F655E">
          <w:rPr>
            <w:rStyle w:val="Hyperlink"/>
            <w:rFonts w:ascii="Times New Roman" w:hAnsi="Times New Roman" w:cs="Times New Roman"/>
            <w:color w:val="auto"/>
            <w:sz w:val="20"/>
            <w:u w:val="none"/>
          </w:rPr>
          <w:t>ner</w:t>
        </w:r>
        <w:proofErr w:type="spellEnd"/>
        <w:r w:rsidR="006F655E" w:rsidRPr="006F655E">
          <w:rPr>
            <w:rStyle w:val="Hyperlink"/>
            <w:rFonts w:ascii="Times New Roman" w:hAnsi="Times New Roman" w:cs="Times New Roman"/>
            <w:color w:val="auto"/>
            <w:sz w:val="20"/>
            <w:u w:val="none"/>
          </w:rPr>
          <w:t xml:space="preserve"> W</w:t>
        </w:r>
        <w:r w:rsidR="00FB24FB" w:rsidRPr="006F655E">
          <w:rPr>
            <w:rStyle w:val="Hyperlink"/>
            <w:rFonts w:ascii="Times New Roman" w:hAnsi="Times New Roman" w:cs="Times New Roman"/>
            <w:color w:val="auto"/>
            <w:sz w:val="20"/>
            <w:u w:val="none"/>
          </w:rPr>
          <w:t>, et al. (2017). Dipyrone (Metamizole</w:t>
        </w:r>
        <w:proofErr w:type="gramStart"/>
        <w:r w:rsidR="00FB24FB" w:rsidRPr="006F655E">
          <w:rPr>
            <w:rStyle w:val="Hyperlink"/>
            <w:rFonts w:ascii="Times New Roman" w:hAnsi="Times New Roman" w:cs="Times New Roman"/>
            <w:color w:val="auto"/>
            <w:sz w:val="20"/>
            <w:u w:val="none"/>
          </w:rPr>
          <w:t>) :</w:t>
        </w:r>
        <w:proofErr w:type="gramEnd"/>
        <w:r w:rsidR="00FB24FB" w:rsidRPr="006F655E">
          <w:rPr>
            <w:rStyle w:val="Hyperlink"/>
            <w:rFonts w:ascii="Times New Roman" w:hAnsi="Times New Roman" w:cs="Times New Roman"/>
            <w:color w:val="auto"/>
            <w:sz w:val="20"/>
            <w:u w:val="none"/>
          </w:rPr>
          <w:t xml:space="preserve"> Considerations on Monitoring for Early Detection </w:t>
        </w:r>
        <w:r w:rsidR="006F655E" w:rsidRPr="006F655E">
          <w:rPr>
            <w:rStyle w:val="Hyperlink"/>
            <w:rFonts w:ascii="Times New Roman" w:hAnsi="Times New Roman" w:cs="Times New Roman"/>
            <w:color w:val="auto"/>
            <w:sz w:val="20"/>
            <w:u w:val="none"/>
          </w:rPr>
          <w:t xml:space="preserve">of Agranulocytosis. </w:t>
        </w:r>
        <w:proofErr w:type="spellStart"/>
        <w:r w:rsidR="006F655E" w:rsidRPr="006F655E">
          <w:rPr>
            <w:rStyle w:val="Hyperlink"/>
            <w:rFonts w:ascii="Times New Roman" w:hAnsi="Times New Roman" w:cs="Times New Roman"/>
            <w:color w:val="auto"/>
            <w:sz w:val="20"/>
            <w:u w:val="none"/>
          </w:rPr>
          <w:t>Schmerz</w:t>
        </w:r>
        <w:proofErr w:type="spellEnd"/>
        <w:r w:rsidR="006F655E" w:rsidRPr="006F655E">
          <w:rPr>
            <w:rStyle w:val="Hyperlink"/>
            <w:rFonts w:ascii="Times New Roman" w:hAnsi="Times New Roman" w:cs="Times New Roman"/>
            <w:color w:val="auto"/>
            <w:sz w:val="20"/>
            <w:u w:val="none"/>
          </w:rPr>
          <w:t>. 31:</w:t>
        </w:r>
        <w:r w:rsidR="00FB24FB" w:rsidRPr="006F655E">
          <w:rPr>
            <w:rStyle w:val="Hyperlink"/>
            <w:rFonts w:ascii="Times New Roman" w:hAnsi="Times New Roman" w:cs="Times New Roman"/>
            <w:color w:val="auto"/>
            <w:sz w:val="20"/>
            <w:u w:val="none"/>
          </w:rPr>
          <w:t>5–13.</w:t>
        </w:r>
      </w:hyperlink>
      <w:r w:rsidR="00FB24FB" w:rsidRPr="006F655E">
        <w:rPr>
          <w:rFonts w:ascii="Times New Roman" w:hAnsi="Times New Roman" w:cs="Times New Roman"/>
          <w:sz w:val="20"/>
        </w:rPr>
        <w:t xml:space="preserve"> </w:t>
      </w:r>
    </w:p>
    <w:p w14:paraId="6B9A7C8B"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12" w:history="1">
        <w:r w:rsidR="00FB24FB" w:rsidRPr="006F655E">
          <w:rPr>
            <w:rStyle w:val="Hyperlink"/>
            <w:rFonts w:ascii="Times New Roman" w:hAnsi="Times New Roman" w:cs="Times New Roman"/>
            <w:color w:val="auto"/>
            <w:sz w:val="20"/>
            <w:u w:val="none"/>
          </w:rPr>
          <w:t xml:space="preserve">Johnston A, Uetrecht J. </w:t>
        </w:r>
        <w:r w:rsidR="006F655E" w:rsidRPr="006F655E">
          <w:rPr>
            <w:rStyle w:val="Hyperlink"/>
            <w:rFonts w:ascii="Times New Roman" w:hAnsi="Times New Roman" w:cs="Times New Roman"/>
            <w:color w:val="auto"/>
            <w:sz w:val="20"/>
            <w:u w:val="none"/>
          </w:rPr>
          <w:t xml:space="preserve">(2015) </w:t>
        </w:r>
        <w:r w:rsidR="00FB24FB" w:rsidRPr="006F655E">
          <w:rPr>
            <w:rStyle w:val="Hyperlink"/>
            <w:rFonts w:ascii="Times New Roman" w:hAnsi="Times New Roman" w:cs="Times New Roman"/>
            <w:color w:val="auto"/>
            <w:sz w:val="20"/>
            <w:u w:val="none"/>
          </w:rPr>
          <w:t xml:space="preserve">Current understanding of the mechanisms of idiosyncratic drug- induced agranulocytosis. Expert </w:t>
        </w:r>
        <w:proofErr w:type="spellStart"/>
        <w:r w:rsidR="00FB24FB" w:rsidRPr="006F655E">
          <w:rPr>
            <w:rStyle w:val="Hyperlink"/>
            <w:rFonts w:ascii="Times New Roman" w:hAnsi="Times New Roman" w:cs="Times New Roman"/>
            <w:color w:val="auto"/>
            <w:sz w:val="20"/>
            <w:u w:val="none"/>
          </w:rPr>
          <w:t>Opin</w:t>
        </w:r>
        <w:proofErr w:type="spellEnd"/>
        <w:r w:rsidR="00FB24FB" w:rsidRPr="006F655E">
          <w:rPr>
            <w:rStyle w:val="Hyperlink"/>
            <w:rFonts w:ascii="Times New Roman" w:hAnsi="Times New Roman" w:cs="Times New Roman"/>
            <w:color w:val="auto"/>
            <w:sz w:val="20"/>
            <w:u w:val="none"/>
          </w:rPr>
          <w:t xml:space="preserve"> Dr</w:t>
        </w:r>
        <w:r w:rsidR="006F655E" w:rsidRPr="006F655E">
          <w:rPr>
            <w:rStyle w:val="Hyperlink"/>
            <w:rFonts w:ascii="Times New Roman" w:hAnsi="Times New Roman" w:cs="Times New Roman"/>
            <w:color w:val="auto"/>
            <w:sz w:val="20"/>
            <w:u w:val="none"/>
          </w:rPr>
          <w:t xml:space="preserve">ug </w:t>
        </w:r>
        <w:proofErr w:type="spellStart"/>
        <w:r w:rsidR="006F655E" w:rsidRPr="006F655E">
          <w:rPr>
            <w:rStyle w:val="Hyperlink"/>
            <w:rFonts w:ascii="Times New Roman" w:hAnsi="Times New Roman" w:cs="Times New Roman"/>
            <w:color w:val="auto"/>
            <w:sz w:val="20"/>
            <w:u w:val="none"/>
          </w:rPr>
          <w:t>Metab</w:t>
        </w:r>
        <w:proofErr w:type="spellEnd"/>
        <w:r w:rsidR="006F655E" w:rsidRPr="006F655E">
          <w:rPr>
            <w:rStyle w:val="Hyperlink"/>
            <w:rFonts w:ascii="Times New Roman" w:hAnsi="Times New Roman" w:cs="Times New Roman"/>
            <w:color w:val="auto"/>
            <w:sz w:val="20"/>
            <w:u w:val="none"/>
          </w:rPr>
          <w:t xml:space="preserve"> Toxicol. 11</w:t>
        </w:r>
        <w:r w:rsidR="00FB24FB" w:rsidRPr="006F655E">
          <w:rPr>
            <w:rStyle w:val="Hyperlink"/>
            <w:rFonts w:ascii="Times New Roman" w:hAnsi="Times New Roman" w:cs="Times New Roman"/>
            <w:color w:val="auto"/>
            <w:sz w:val="20"/>
            <w:u w:val="none"/>
          </w:rPr>
          <w:t>:243-57.</w:t>
        </w:r>
      </w:hyperlink>
      <w:r w:rsidR="00FB24FB" w:rsidRPr="006F655E">
        <w:rPr>
          <w:rFonts w:ascii="Times New Roman" w:hAnsi="Times New Roman" w:cs="Times New Roman"/>
          <w:sz w:val="20"/>
        </w:rPr>
        <w:t xml:space="preserve"> </w:t>
      </w:r>
    </w:p>
    <w:p w14:paraId="20A8DF80"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13" w:history="1">
        <w:proofErr w:type="spellStart"/>
        <w:r w:rsidR="006F655E" w:rsidRPr="006F655E">
          <w:rPr>
            <w:rStyle w:val="Hyperlink"/>
            <w:rFonts w:ascii="Times New Roman" w:hAnsi="Times New Roman" w:cs="Times New Roman"/>
            <w:color w:val="auto"/>
            <w:sz w:val="20"/>
            <w:u w:val="none"/>
          </w:rPr>
          <w:t>Mijovic</w:t>
        </w:r>
        <w:proofErr w:type="spellEnd"/>
        <w:r w:rsidR="006F655E" w:rsidRPr="006F655E">
          <w:rPr>
            <w:rStyle w:val="Hyperlink"/>
            <w:rFonts w:ascii="Times New Roman" w:hAnsi="Times New Roman" w:cs="Times New Roman"/>
            <w:color w:val="auto"/>
            <w:sz w:val="20"/>
            <w:u w:val="none"/>
          </w:rPr>
          <w:t xml:space="preserve"> A, MacCabe J (2020) </w:t>
        </w:r>
        <w:r w:rsidR="00FB24FB" w:rsidRPr="006F655E">
          <w:rPr>
            <w:rStyle w:val="Hyperlink"/>
            <w:rFonts w:ascii="Times New Roman" w:hAnsi="Times New Roman" w:cs="Times New Roman"/>
            <w:color w:val="auto"/>
            <w:sz w:val="20"/>
            <w:u w:val="none"/>
          </w:rPr>
          <w:t>Clozapine-induced agranulocy</w:t>
        </w:r>
        <w:r w:rsidR="006F655E" w:rsidRPr="006F655E">
          <w:rPr>
            <w:rStyle w:val="Hyperlink"/>
            <w:rFonts w:ascii="Times New Roman" w:hAnsi="Times New Roman" w:cs="Times New Roman"/>
            <w:color w:val="auto"/>
            <w:sz w:val="20"/>
            <w:u w:val="none"/>
          </w:rPr>
          <w:t xml:space="preserve">tosis. Ann </w:t>
        </w:r>
        <w:proofErr w:type="spellStart"/>
        <w:r w:rsidR="006F655E" w:rsidRPr="006F655E">
          <w:rPr>
            <w:rStyle w:val="Hyperlink"/>
            <w:rFonts w:ascii="Times New Roman" w:hAnsi="Times New Roman" w:cs="Times New Roman"/>
            <w:color w:val="auto"/>
            <w:sz w:val="20"/>
            <w:u w:val="none"/>
          </w:rPr>
          <w:t>Hematol</w:t>
        </w:r>
        <w:proofErr w:type="spellEnd"/>
        <w:r w:rsidR="006F655E" w:rsidRPr="006F655E">
          <w:rPr>
            <w:rStyle w:val="Hyperlink"/>
            <w:rFonts w:ascii="Times New Roman" w:hAnsi="Times New Roman" w:cs="Times New Roman"/>
            <w:color w:val="auto"/>
            <w:sz w:val="20"/>
            <w:u w:val="none"/>
          </w:rPr>
          <w:t>. 99</w:t>
        </w:r>
        <w:r w:rsidR="00FB24FB" w:rsidRPr="006F655E">
          <w:rPr>
            <w:rStyle w:val="Hyperlink"/>
            <w:rFonts w:ascii="Times New Roman" w:hAnsi="Times New Roman" w:cs="Times New Roman"/>
            <w:color w:val="auto"/>
            <w:sz w:val="20"/>
            <w:u w:val="none"/>
          </w:rPr>
          <w:t>:2477-2482.</w:t>
        </w:r>
      </w:hyperlink>
      <w:r w:rsidR="00FB24FB" w:rsidRPr="006F655E">
        <w:rPr>
          <w:rFonts w:ascii="Times New Roman" w:hAnsi="Times New Roman" w:cs="Times New Roman"/>
          <w:sz w:val="20"/>
        </w:rPr>
        <w:t xml:space="preserve"> </w:t>
      </w:r>
    </w:p>
    <w:p w14:paraId="099306D9"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14" w:history="1">
        <w:r w:rsidR="00FB24FB" w:rsidRPr="006F655E">
          <w:rPr>
            <w:rStyle w:val="Hyperlink"/>
            <w:rFonts w:ascii="Times New Roman" w:hAnsi="Times New Roman" w:cs="Times New Roman"/>
            <w:color w:val="auto"/>
            <w:sz w:val="20"/>
            <w:u w:val="none"/>
          </w:rPr>
          <w:t xml:space="preserve">Lam PW, Leis JA, Daneman N. </w:t>
        </w:r>
        <w:r w:rsidR="006F655E" w:rsidRPr="006F655E">
          <w:rPr>
            <w:rStyle w:val="Hyperlink"/>
            <w:rFonts w:ascii="Times New Roman" w:hAnsi="Times New Roman" w:cs="Times New Roman"/>
            <w:color w:val="auto"/>
            <w:sz w:val="20"/>
            <w:u w:val="none"/>
          </w:rPr>
          <w:t xml:space="preserve">(2023) </w:t>
        </w:r>
        <w:r w:rsidR="00FB24FB" w:rsidRPr="006F655E">
          <w:rPr>
            <w:rStyle w:val="Hyperlink"/>
            <w:rFonts w:ascii="Times New Roman" w:hAnsi="Times New Roman" w:cs="Times New Roman"/>
            <w:color w:val="auto"/>
            <w:sz w:val="20"/>
            <w:u w:val="none"/>
          </w:rPr>
          <w:t xml:space="preserve">Antibiotic-Induced Neutropenia in Patients Receiving Outpatient Antibiotic Therapy: </w:t>
        </w:r>
        <w:proofErr w:type="gramStart"/>
        <w:r w:rsidR="00FB24FB" w:rsidRPr="006F655E">
          <w:rPr>
            <w:rStyle w:val="Hyperlink"/>
            <w:rFonts w:ascii="Times New Roman" w:hAnsi="Times New Roman" w:cs="Times New Roman"/>
            <w:color w:val="auto"/>
            <w:sz w:val="20"/>
            <w:u w:val="none"/>
          </w:rPr>
          <w:t>a</w:t>
        </w:r>
        <w:proofErr w:type="gramEnd"/>
        <w:r w:rsidR="00FB24FB" w:rsidRPr="006F655E">
          <w:rPr>
            <w:rStyle w:val="Hyperlink"/>
            <w:rFonts w:ascii="Times New Roman" w:hAnsi="Times New Roman" w:cs="Times New Roman"/>
            <w:color w:val="auto"/>
            <w:sz w:val="20"/>
            <w:u w:val="none"/>
          </w:rPr>
          <w:t xml:space="preserve"> Retrospective Cohort Study. </w:t>
        </w:r>
        <w:proofErr w:type="spellStart"/>
        <w:r w:rsidR="00FB24FB" w:rsidRPr="006F655E">
          <w:rPr>
            <w:rStyle w:val="Hyperlink"/>
            <w:rFonts w:ascii="Times New Roman" w:hAnsi="Times New Roman" w:cs="Times New Roman"/>
            <w:color w:val="auto"/>
            <w:sz w:val="20"/>
            <w:u w:val="none"/>
          </w:rPr>
          <w:t>Antimicrob</w:t>
        </w:r>
        <w:proofErr w:type="spellEnd"/>
        <w:r w:rsidR="00FB24FB" w:rsidRPr="006F655E">
          <w:rPr>
            <w:rStyle w:val="Hyperlink"/>
            <w:rFonts w:ascii="Times New Roman" w:hAnsi="Times New Roman" w:cs="Times New Roman"/>
            <w:color w:val="auto"/>
            <w:sz w:val="20"/>
            <w:u w:val="none"/>
          </w:rPr>
          <w:t xml:space="preserve"> Agents </w:t>
        </w:r>
        <w:proofErr w:type="spellStart"/>
        <w:r w:rsidR="006F655E" w:rsidRPr="006F655E">
          <w:rPr>
            <w:rStyle w:val="Hyperlink"/>
            <w:rFonts w:ascii="Times New Roman" w:hAnsi="Times New Roman" w:cs="Times New Roman"/>
            <w:color w:val="auto"/>
            <w:sz w:val="20"/>
            <w:u w:val="none"/>
          </w:rPr>
          <w:t>Chemother</w:t>
        </w:r>
        <w:proofErr w:type="spellEnd"/>
        <w:r w:rsidR="006F655E" w:rsidRPr="006F655E">
          <w:rPr>
            <w:rStyle w:val="Hyperlink"/>
            <w:rFonts w:ascii="Times New Roman" w:hAnsi="Times New Roman" w:cs="Times New Roman"/>
            <w:color w:val="auto"/>
            <w:sz w:val="20"/>
            <w:u w:val="none"/>
          </w:rPr>
          <w:t>. 67</w:t>
        </w:r>
        <w:r w:rsidR="00FB24FB" w:rsidRPr="006F655E">
          <w:rPr>
            <w:rStyle w:val="Hyperlink"/>
            <w:rFonts w:ascii="Times New Roman" w:hAnsi="Times New Roman" w:cs="Times New Roman"/>
            <w:color w:val="auto"/>
            <w:sz w:val="20"/>
            <w:u w:val="none"/>
          </w:rPr>
          <w:t>: e01596-22.</w:t>
        </w:r>
      </w:hyperlink>
      <w:r w:rsidR="00FB24FB" w:rsidRPr="006F655E">
        <w:rPr>
          <w:rFonts w:ascii="Times New Roman" w:hAnsi="Times New Roman" w:cs="Times New Roman"/>
          <w:sz w:val="20"/>
        </w:rPr>
        <w:t xml:space="preserve"> </w:t>
      </w:r>
    </w:p>
    <w:p w14:paraId="687A6209"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15" w:history="1">
        <w:r w:rsidR="00FB24FB" w:rsidRPr="006F655E">
          <w:rPr>
            <w:rStyle w:val="Hyperlink"/>
            <w:rFonts w:ascii="Times New Roman" w:hAnsi="Times New Roman" w:cs="Times New Roman"/>
            <w:color w:val="auto"/>
            <w:sz w:val="20"/>
            <w:u w:val="none"/>
          </w:rPr>
          <w:t xml:space="preserve">Perry CM, Markham A. </w:t>
        </w:r>
        <w:r w:rsidR="006F655E" w:rsidRPr="006F655E">
          <w:rPr>
            <w:rStyle w:val="Hyperlink"/>
            <w:rFonts w:ascii="Times New Roman" w:hAnsi="Times New Roman" w:cs="Times New Roman"/>
            <w:color w:val="auto"/>
            <w:sz w:val="20"/>
            <w:u w:val="none"/>
          </w:rPr>
          <w:t xml:space="preserve">(1999) </w:t>
        </w:r>
        <w:r w:rsidR="00FB24FB" w:rsidRPr="006F655E">
          <w:rPr>
            <w:rStyle w:val="Hyperlink"/>
            <w:rFonts w:ascii="Times New Roman" w:hAnsi="Times New Roman" w:cs="Times New Roman"/>
            <w:color w:val="auto"/>
            <w:sz w:val="20"/>
            <w:u w:val="none"/>
          </w:rPr>
          <w:t>Piperacillin/tazobactam: an updated review of its use in the treatment of bacterial i</w:t>
        </w:r>
        <w:r w:rsidR="006F655E" w:rsidRPr="006F655E">
          <w:rPr>
            <w:rStyle w:val="Hyperlink"/>
            <w:rFonts w:ascii="Times New Roman" w:hAnsi="Times New Roman" w:cs="Times New Roman"/>
            <w:color w:val="auto"/>
            <w:sz w:val="20"/>
            <w:u w:val="none"/>
          </w:rPr>
          <w:t>nfections. Drugs. 57</w:t>
        </w:r>
        <w:r w:rsidR="00FB24FB" w:rsidRPr="006F655E">
          <w:rPr>
            <w:rStyle w:val="Hyperlink"/>
            <w:rFonts w:ascii="Times New Roman" w:hAnsi="Times New Roman" w:cs="Times New Roman"/>
            <w:color w:val="auto"/>
            <w:sz w:val="20"/>
            <w:u w:val="none"/>
          </w:rPr>
          <w:t>:805-43.</w:t>
        </w:r>
      </w:hyperlink>
      <w:r w:rsidR="00FB24FB" w:rsidRPr="006F655E">
        <w:rPr>
          <w:rFonts w:ascii="Times New Roman" w:hAnsi="Times New Roman" w:cs="Times New Roman"/>
          <w:sz w:val="20"/>
        </w:rPr>
        <w:t xml:space="preserve"> </w:t>
      </w:r>
    </w:p>
    <w:p w14:paraId="3A0FDDBE"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16" w:history="1">
        <w:r w:rsidR="00FB24FB" w:rsidRPr="006F655E">
          <w:rPr>
            <w:rStyle w:val="Hyperlink"/>
            <w:rFonts w:ascii="Times New Roman" w:hAnsi="Times New Roman" w:cs="Times New Roman"/>
            <w:color w:val="auto"/>
            <w:sz w:val="20"/>
            <w:u w:val="none"/>
          </w:rPr>
          <w:t xml:space="preserve">Qian ET, Casey JD, Wright A, Wang L, Shotwell MS, </w:t>
        </w:r>
        <w:r w:rsidR="006F655E" w:rsidRPr="006F655E">
          <w:rPr>
            <w:rStyle w:val="Hyperlink"/>
            <w:rFonts w:ascii="Times New Roman" w:hAnsi="Times New Roman" w:cs="Times New Roman"/>
            <w:color w:val="auto"/>
            <w:sz w:val="20"/>
            <w:u w:val="none"/>
          </w:rPr>
          <w:t>et al (2023)</w:t>
        </w:r>
        <w:r w:rsidR="00FB24FB" w:rsidRPr="006F655E">
          <w:rPr>
            <w:rStyle w:val="Hyperlink"/>
            <w:rFonts w:ascii="Times New Roman" w:hAnsi="Times New Roman" w:cs="Times New Roman"/>
            <w:color w:val="auto"/>
            <w:sz w:val="20"/>
            <w:u w:val="none"/>
          </w:rPr>
          <w:t xml:space="preserve"> Vanderbilt </w:t>
        </w:r>
        <w:proofErr w:type="spellStart"/>
        <w:r w:rsidR="00FB24FB" w:rsidRPr="006F655E">
          <w:rPr>
            <w:rStyle w:val="Hyperlink"/>
            <w:rFonts w:ascii="Times New Roman" w:hAnsi="Times New Roman" w:cs="Times New Roman"/>
            <w:color w:val="auto"/>
            <w:sz w:val="20"/>
            <w:u w:val="none"/>
          </w:rPr>
          <w:t>Center</w:t>
        </w:r>
        <w:proofErr w:type="spellEnd"/>
        <w:r w:rsidR="00FB24FB" w:rsidRPr="006F655E">
          <w:rPr>
            <w:rStyle w:val="Hyperlink"/>
            <w:rFonts w:ascii="Times New Roman" w:hAnsi="Times New Roman" w:cs="Times New Roman"/>
            <w:color w:val="auto"/>
            <w:sz w:val="20"/>
            <w:u w:val="none"/>
          </w:rPr>
          <w:t xml:space="preserve"> for Learning Healthcare and the Pragmatic Critical Care Research Group. Cefepime vs Piperacillin-Tazobactam in Adults Hospitalized </w:t>
        </w:r>
        <w:r w:rsidR="006F655E" w:rsidRPr="006F655E">
          <w:rPr>
            <w:rStyle w:val="Hyperlink"/>
            <w:rFonts w:ascii="Times New Roman" w:hAnsi="Times New Roman" w:cs="Times New Roman"/>
            <w:color w:val="auto"/>
            <w:sz w:val="20"/>
            <w:u w:val="none"/>
          </w:rPr>
          <w:t>with</w:t>
        </w:r>
        <w:r w:rsidR="00FB24FB" w:rsidRPr="006F655E">
          <w:rPr>
            <w:rStyle w:val="Hyperlink"/>
            <w:rFonts w:ascii="Times New Roman" w:hAnsi="Times New Roman" w:cs="Times New Roman"/>
            <w:color w:val="auto"/>
            <w:sz w:val="20"/>
            <w:u w:val="none"/>
          </w:rPr>
          <w:t xml:space="preserve"> Acute Infection: The ACORN Randomized Clinical Trial. JAMA. </w:t>
        </w:r>
        <w:r w:rsidR="006F655E" w:rsidRPr="006F655E">
          <w:rPr>
            <w:rStyle w:val="Hyperlink"/>
            <w:rFonts w:ascii="Times New Roman" w:hAnsi="Times New Roman" w:cs="Times New Roman"/>
            <w:color w:val="auto"/>
            <w:sz w:val="20"/>
            <w:u w:val="none"/>
          </w:rPr>
          <w:t>330</w:t>
        </w:r>
        <w:r w:rsidR="00FB24FB" w:rsidRPr="006F655E">
          <w:rPr>
            <w:rStyle w:val="Hyperlink"/>
            <w:rFonts w:ascii="Times New Roman" w:hAnsi="Times New Roman" w:cs="Times New Roman"/>
            <w:color w:val="auto"/>
            <w:sz w:val="20"/>
            <w:u w:val="none"/>
          </w:rPr>
          <w:t>:1557-1567.</w:t>
        </w:r>
      </w:hyperlink>
      <w:r w:rsidR="00FB24FB" w:rsidRPr="006F655E">
        <w:rPr>
          <w:rFonts w:ascii="Times New Roman" w:hAnsi="Times New Roman" w:cs="Times New Roman"/>
          <w:sz w:val="20"/>
        </w:rPr>
        <w:t xml:space="preserve"> </w:t>
      </w:r>
    </w:p>
    <w:p w14:paraId="0DBAA023"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17" w:history="1">
        <w:r w:rsidR="006F655E" w:rsidRPr="006F655E">
          <w:rPr>
            <w:rStyle w:val="Hyperlink"/>
            <w:rFonts w:ascii="Times New Roman" w:hAnsi="Times New Roman" w:cs="Times New Roman"/>
            <w:color w:val="auto"/>
            <w:sz w:val="20"/>
            <w:u w:val="none"/>
          </w:rPr>
          <w:t xml:space="preserve">Strom BL, Carson JL, </w:t>
        </w:r>
        <w:proofErr w:type="spellStart"/>
        <w:r w:rsidR="006F655E" w:rsidRPr="006F655E">
          <w:rPr>
            <w:rStyle w:val="Hyperlink"/>
            <w:rFonts w:ascii="Times New Roman" w:hAnsi="Times New Roman" w:cs="Times New Roman"/>
            <w:color w:val="auto"/>
            <w:sz w:val="20"/>
            <w:u w:val="none"/>
          </w:rPr>
          <w:t>Schinnar</w:t>
        </w:r>
        <w:proofErr w:type="spellEnd"/>
        <w:r w:rsidR="006F655E" w:rsidRPr="006F655E">
          <w:rPr>
            <w:rStyle w:val="Hyperlink"/>
            <w:rFonts w:ascii="Times New Roman" w:hAnsi="Times New Roman" w:cs="Times New Roman"/>
            <w:color w:val="auto"/>
            <w:sz w:val="20"/>
            <w:u w:val="none"/>
          </w:rPr>
          <w:t xml:space="preserve"> R, Snyder ES, and Shaw</w:t>
        </w:r>
        <w:r w:rsidR="00FB24FB" w:rsidRPr="006F655E">
          <w:rPr>
            <w:rStyle w:val="Hyperlink"/>
            <w:rFonts w:ascii="Times New Roman" w:hAnsi="Times New Roman" w:cs="Times New Roman"/>
            <w:color w:val="auto"/>
            <w:sz w:val="20"/>
            <w:u w:val="none"/>
          </w:rPr>
          <w:t xml:space="preserve"> M. (1992). Descriptive Epidemiology of Agranulo</w:t>
        </w:r>
        <w:r w:rsidR="006F655E" w:rsidRPr="006F655E">
          <w:rPr>
            <w:rStyle w:val="Hyperlink"/>
            <w:rFonts w:ascii="Times New Roman" w:hAnsi="Times New Roman" w:cs="Times New Roman"/>
            <w:color w:val="auto"/>
            <w:sz w:val="20"/>
            <w:u w:val="none"/>
          </w:rPr>
          <w:t>cytosis. Arch. Intern. Med. 152:</w:t>
        </w:r>
        <w:r w:rsidR="00FB24FB" w:rsidRPr="006F655E">
          <w:rPr>
            <w:rStyle w:val="Hyperlink"/>
            <w:rFonts w:ascii="Times New Roman" w:hAnsi="Times New Roman" w:cs="Times New Roman"/>
            <w:color w:val="auto"/>
            <w:sz w:val="20"/>
            <w:u w:val="none"/>
          </w:rPr>
          <w:t xml:space="preserve"> 1475–1480.</w:t>
        </w:r>
      </w:hyperlink>
      <w:r w:rsidR="00FB24FB" w:rsidRPr="006F655E">
        <w:rPr>
          <w:rFonts w:ascii="Times New Roman" w:hAnsi="Times New Roman" w:cs="Times New Roman"/>
          <w:sz w:val="20"/>
        </w:rPr>
        <w:t xml:space="preserve"> </w:t>
      </w:r>
    </w:p>
    <w:p w14:paraId="4B9E1796"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18" w:history="1">
        <w:r w:rsidR="00FB24FB" w:rsidRPr="006F655E">
          <w:rPr>
            <w:rStyle w:val="Hyperlink"/>
            <w:rFonts w:ascii="Times New Roman" w:hAnsi="Times New Roman" w:cs="Times New Roman"/>
            <w:color w:val="auto"/>
            <w:sz w:val="20"/>
            <w:u w:val="none"/>
          </w:rPr>
          <w:t xml:space="preserve">Staples JA, Ho M, Ferris D, Hayek J, Liu G, Tran KC, </w:t>
        </w:r>
        <w:r w:rsidR="006F655E" w:rsidRPr="006F655E">
          <w:rPr>
            <w:rStyle w:val="Hyperlink"/>
            <w:rFonts w:ascii="Times New Roman" w:hAnsi="Times New Roman" w:cs="Times New Roman"/>
            <w:color w:val="auto"/>
            <w:sz w:val="20"/>
            <w:u w:val="none"/>
          </w:rPr>
          <w:t>et al (2022)</w:t>
        </w:r>
        <w:r w:rsidR="00FB24FB" w:rsidRPr="006F655E">
          <w:rPr>
            <w:rStyle w:val="Hyperlink"/>
            <w:rFonts w:ascii="Times New Roman" w:hAnsi="Times New Roman" w:cs="Times New Roman"/>
            <w:color w:val="auto"/>
            <w:sz w:val="20"/>
            <w:u w:val="none"/>
          </w:rPr>
          <w:t xml:space="preserve"> Outpatient Versus Inpatient Intravenous Antimicrobial Therapy: A Population-Based Observational Cohort Study of Adverse Events and Costs. Cli</w:t>
        </w:r>
        <w:r w:rsidR="006F655E" w:rsidRPr="006F655E">
          <w:rPr>
            <w:rStyle w:val="Hyperlink"/>
            <w:rFonts w:ascii="Times New Roman" w:hAnsi="Times New Roman" w:cs="Times New Roman"/>
            <w:color w:val="auto"/>
            <w:sz w:val="20"/>
            <w:u w:val="none"/>
          </w:rPr>
          <w:t>n Infect Dis. 75</w:t>
        </w:r>
        <w:r w:rsidR="00FB24FB" w:rsidRPr="006F655E">
          <w:rPr>
            <w:rStyle w:val="Hyperlink"/>
            <w:rFonts w:ascii="Times New Roman" w:hAnsi="Times New Roman" w:cs="Times New Roman"/>
            <w:color w:val="auto"/>
            <w:sz w:val="20"/>
            <w:u w:val="none"/>
          </w:rPr>
          <w:t>:1921-1929.</w:t>
        </w:r>
      </w:hyperlink>
      <w:r w:rsidR="00FB24FB" w:rsidRPr="006F655E">
        <w:rPr>
          <w:rFonts w:ascii="Times New Roman" w:hAnsi="Times New Roman" w:cs="Times New Roman"/>
          <w:sz w:val="20"/>
        </w:rPr>
        <w:t xml:space="preserve"> </w:t>
      </w:r>
    </w:p>
    <w:p w14:paraId="0AFBAA2A"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19" w:history="1">
        <w:r w:rsidR="00FB24FB" w:rsidRPr="006F655E">
          <w:rPr>
            <w:rStyle w:val="Hyperlink"/>
            <w:rFonts w:ascii="Times New Roman" w:hAnsi="Times New Roman" w:cs="Times New Roman"/>
            <w:color w:val="auto"/>
            <w:sz w:val="20"/>
            <w:u w:val="none"/>
          </w:rPr>
          <w:t xml:space="preserve">Wolter JM, Cagney RA, McCormack JG. </w:t>
        </w:r>
        <w:r w:rsidR="006F655E" w:rsidRPr="006F655E">
          <w:rPr>
            <w:rStyle w:val="Hyperlink"/>
            <w:rFonts w:ascii="Times New Roman" w:hAnsi="Times New Roman" w:cs="Times New Roman"/>
            <w:color w:val="auto"/>
            <w:sz w:val="20"/>
            <w:u w:val="none"/>
          </w:rPr>
          <w:t xml:space="preserve">(2004) </w:t>
        </w:r>
        <w:r w:rsidR="00FB24FB" w:rsidRPr="006F655E">
          <w:rPr>
            <w:rStyle w:val="Hyperlink"/>
            <w:rFonts w:ascii="Times New Roman" w:hAnsi="Times New Roman" w:cs="Times New Roman"/>
            <w:color w:val="auto"/>
            <w:sz w:val="20"/>
            <w:u w:val="none"/>
          </w:rPr>
          <w:t>A randomized trial of home vs hospital intravenous antibiotic therapy in adults with infectious di</w:t>
        </w:r>
        <w:r w:rsidR="006F655E" w:rsidRPr="006F655E">
          <w:rPr>
            <w:rStyle w:val="Hyperlink"/>
            <w:rFonts w:ascii="Times New Roman" w:hAnsi="Times New Roman" w:cs="Times New Roman"/>
            <w:color w:val="auto"/>
            <w:sz w:val="20"/>
            <w:u w:val="none"/>
          </w:rPr>
          <w:t>seases. J Infect. 48</w:t>
        </w:r>
        <w:r w:rsidR="00FB24FB" w:rsidRPr="006F655E">
          <w:rPr>
            <w:rStyle w:val="Hyperlink"/>
            <w:rFonts w:ascii="Times New Roman" w:hAnsi="Times New Roman" w:cs="Times New Roman"/>
            <w:color w:val="auto"/>
            <w:sz w:val="20"/>
            <w:u w:val="none"/>
          </w:rPr>
          <w:t>:263-8.</w:t>
        </w:r>
      </w:hyperlink>
      <w:r w:rsidR="00FB24FB" w:rsidRPr="006F655E">
        <w:rPr>
          <w:rFonts w:ascii="Times New Roman" w:hAnsi="Times New Roman" w:cs="Times New Roman"/>
          <w:sz w:val="20"/>
        </w:rPr>
        <w:t xml:space="preserve"> </w:t>
      </w:r>
    </w:p>
    <w:p w14:paraId="73BBCA79"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20" w:history="1">
        <w:r w:rsidR="00FB24FB" w:rsidRPr="006F655E">
          <w:rPr>
            <w:rStyle w:val="Hyperlink"/>
            <w:rFonts w:ascii="Times New Roman" w:hAnsi="Times New Roman" w:cs="Times New Roman"/>
            <w:color w:val="auto"/>
            <w:sz w:val="20"/>
            <w:u w:val="none"/>
          </w:rPr>
          <w:t xml:space="preserve">Segel GB, Halterman JS. </w:t>
        </w:r>
        <w:r w:rsidR="006F655E" w:rsidRPr="006F655E">
          <w:rPr>
            <w:rStyle w:val="Hyperlink"/>
            <w:rFonts w:ascii="Times New Roman" w:hAnsi="Times New Roman" w:cs="Times New Roman"/>
            <w:color w:val="auto"/>
            <w:sz w:val="20"/>
            <w:u w:val="none"/>
          </w:rPr>
          <w:t xml:space="preserve">(2008) </w:t>
        </w:r>
        <w:r w:rsidR="00FB24FB" w:rsidRPr="006F655E">
          <w:rPr>
            <w:rStyle w:val="Hyperlink"/>
            <w:rFonts w:ascii="Times New Roman" w:hAnsi="Times New Roman" w:cs="Times New Roman"/>
            <w:color w:val="auto"/>
            <w:sz w:val="20"/>
            <w:u w:val="none"/>
          </w:rPr>
          <w:t xml:space="preserve">Neutropenia in </w:t>
        </w:r>
        <w:proofErr w:type="spellStart"/>
        <w:r w:rsidR="00FB24FB" w:rsidRPr="006F655E">
          <w:rPr>
            <w:rStyle w:val="Hyperlink"/>
            <w:rFonts w:ascii="Times New Roman" w:hAnsi="Times New Roman" w:cs="Times New Roman"/>
            <w:color w:val="auto"/>
            <w:sz w:val="20"/>
            <w:u w:val="none"/>
          </w:rPr>
          <w:t>pediatric</w:t>
        </w:r>
        <w:proofErr w:type="spellEnd"/>
        <w:r w:rsidR="00FB24FB" w:rsidRPr="006F655E">
          <w:rPr>
            <w:rStyle w:val="Hyperlink"/>
            <w:rFonts w:ascii="Times New Roman" w:hAnsi="Times New Roman" w:cs="Times New Roman"/>
            <w:color w:val="auto"/>
            <w:sz w:val="20"/>
            <w:u w:val="none"/>
          </w:rPr>
          <w:t xml:space="preserve"> pract</w:t>
        </w:r>
        <w:r w:rsidR="006F655E" w:rsidRPr="006F655E">
          <w:rPr>
            <w:rStyle w:val="Hyperlink"/>
            <w:rFonts w:ascii="Times New Roman" w:hAnsi="Times New Roman" w:cs="Times New Roman"/>
            <w:color w:val="auto"/>
            <w:sz w:val="20"/>
            <w:u w:val="none"/>
          </w:rPr>
          <w:t xml:space="preserve">ice. </w:t>
        </w:r>
        <w:proofErr w:type="spellStart"/>
        <w:r w:rsidR="006F655E" w:rsidRPr="006F655E">
          <w:rPr>
            <w:rStyle w:val="Hyperlink"/>
            <w:rFonts w:ascii="Times New Roman" w:hAnsi="Times New Roman" w:cs="Times New Roman"/>
            <w:color w:val="auto"/>
            <w:sz w:val="20"/>
            <w:u w:val="none"/>
          </w:rPr>
          <w:t>Pediatr</w:t>
        </w:r>
        <w:proofErr w:type="spellEnd"/>
        <w:r w:rsidR="006F655E" w:rsidRPr="006F655E">
          <w:rPr>
            <w:rStyle w:val="Hyperlink"/>
            <w:rFonts w:ascii="Times New Roman" w:hAnsi="Times New Roman" w:cs="Times New Roman"/>
            <w:color w:val="auto"/>
            <w:sz w:val="20"/>
            <w:u w:val="none"/>
          </w:rPr>
          <w:t xml:space="preserve"> Rev. 29</w:t>
        </w:r>
        <w:r w:rsidR="00FB24FB" w:rsidRPr="006F655E">
          <w:rPr>
            <w:rStyle w:val="Hyperlink"/>
            <w:rFonts w:ascii="Times New Roman" w:hAnsi="Times New Roman" w:cs="Times New Roman"/>
            <w:color w:val="auto"/>
            <w:sz w:val="20"/>
            <w:u w:val="none"/>
          </w:rPr>
          <w:t>: 12-23.</w:t>
        </w:r>
      </w:hyperlink>
      <w:r w:rsidR="00FB24FB" w:rsidRPr="006F655E">
        <w:rPr>
          <w:rFonts w:ascii="Times New Roman" w:hAnsi="Times New Roman" w:cs="Times New Roman"/>
          <w:sz w:val="20"/>
        </w:rPr>
        <w:t xml:space="preserve"> </w:t>
      </w:r>
    </w:p>
    <w:p w14:paraId="06536D29"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21" w:history="1">
        <w:r w:rsidR="00FB24FB" w:rsidRPr="006F655E">
          <w:rPr>
            <w:rStyle w:val="Hyperlink"/>
            <w:rFonts w:ascii="Times New Roman" w:hAnsi="Times New Roman" w:cs="Times New Roman"/>
            <w:color w:val="auto"/>
            <w:sz w:val="20"/>
            <w:u w:val="none"/>
          </w:rPr>
          <w:t xml:space="preserve">Higgins P, </w:t>
        </w:r>
        <w:proofErr w:type="spellStart"/>
        <w:r w:rsidR="00FB24FB" w:rsidRPr="006F655E">
          <w:rPr>
            <w:rStyle w:val="Hyperlink"/>
            <w:rFonts w:ascii="Times New Roman" w:hAnsi="Times New Roman" w:cs="Times New Roman"/>
            <w:color w:val="auto"/>
            <w:sz w:val="20"/>
            <w:u w:val="none"/>
          </w:rPr>
          <w:t>Runnegar</w:t>
        </w:r>
        <w:proofErr w:type="spellEnd"/>
        <w:r w:rsidR="00FB24FB" w:rsidRPr="006F655E">
          <w:rPr>
            <w:rStyle w:val="Hyperlink"/>
            <w:rFonts w:ascii="Times New Roman" w:hAnsi="Times New Roman" w:cs="Times New Roman"/>
            <w:color w:val="auto"/>
            <w:sz w:val="20"/>
            <w:u w:val="none"/>
          </w:rPr>
          <w:t xml:space="preserve"> N, Bird RJ, Markey KA. </w:t>
        </w:r>
        <w:r w:rsidR="006F655E" w:rsidRPr="006F655E">
          <w:rPr>
            <w:rStyle w:val="Hyperlink"/>
            <w:rFonts w:ascii="Times New Roman" w:hAnsi="Times New Roman" w:cs="Times New Roman"/>
            <w:color w:val="auto"/>
            <w:sz w:val="20"/>
            <w:u w:val="none"/>
          </w:rPr>
          <w:t xml:space="preserve">(2016) </w:t>
        </w:r>
        <w:r w:rsidR="00FB24FB" w:rsidRPr="006F655E">
          <w:rPr>
            <w:rStyle w:val="Hyperlink"/>
            <w:rFonts w:ascii="Times New Roman" w:hAnsi="Times New Roman" w:cs="Times New Roman"/>
            <w:color w:val="auto"/>
            <w:sz w:val="20"/>
            <w:u w:val="none"/>
          </w:rPr>
          <w:t xml:space="preserve">Rates of neutropenia in adults with influenza A or B: a retrospective analysis of </w:t>
        </w:r>
        <w:proofErr w:type="spellStart"/>
        <w:r w:rsidR="00FB24FB" w:rsidRPr="006F655E">
          <w:rPr>
            <w:rStyle w:val="Hyperlink"/>
            <w:rFonts w:ascii="Times New Roman" w:hAnsi="Times New Roman" w:cs="Times New Roman"/>
            <w:color w:val="auto"/>
            <w:sz w:val="20"/>
            <w:u w:val="none"/>
          </w:rPr>
          <w:t>hospialised</w:t>
        </w:r>
        <w:proofErr w:type="spellEnd"/>
        <w:r w:rsidR="00FB24FB" w:rsidRPr="006F655E">
          <w:rPr>
            <w:rStyle w:val="Hyperlink"/>
            <w:rFonts w:ascii="Times New Roman" w:hAnsi="Times New Roman" w:cs="Times New Roman"/>
            <w:color w:val="auto"/>
            <w:sz w:val="20"/>
            <w:u w:val="none"/>
          </w:rPr>
          <w:t xml:space="preserve"> patients in Southern East Queensland during 2015. Internal Med. </w:t>
        </w:r>
        <w:r w:rsidR="006F655E" w:rsidRPr="006F655E">
          <w:rPr>
            <w:rStyle w:val="Hyperlink"/>
            <w:rFonts w:ascii="Times New Roman" w:hAnsi="Times New Roman" w:cs="Times New Roman"/>
            <w:color w:val="auto"/>
            <w:sz w:val="20"/>
            <w:u w:val="none"/>
          </w:rPr>
          <w:t>J. 46</w:t>
        </w:r>
        <w:r w:rsidR="00FB24FB" w:rsidRPr="006F655E">
          <w:rPr>
            <w:rStyle w:val="Hyperlink"/>
            <w:rFonts w:ascii="Times New Roman" w:hAnsi="Times New Roman" w:cs="Times New Roman"/>
            <w:color w:val="auto"/>
            <w:sz w:val="20"/>
            <w:u w:val="none"/>
          </w:rPr>
          <w:t>:1328-1332.</w:t>
        </w:r>
      </w:hyperlink>
      <w:r w:rsidR="00FB24FB" w:rsidRPr="006F655E">
        <w:rPr>
          <w:rFonts w:ascii="Times New Roman" w:hAnsi="Times New Roman" w:cs="Times New Roman"/>
          <w:sz w:val="20"/>
        </w:rPr>
        <w:t xml:space="preserve"> </w:t>
      </w:r>
    </w:p>
    <w:p w14:paraId="498F7245"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22" w:history="1">
        <w:proofErr w:type="spellStart"/>
        <w:r w:rsidR="00FB24FB" w:rsidRPr="006F655E">
          <w:rPr>
            <w:rStyle w:val="Hyperlink"/>
            <w:rFonts w:ascii="Times New Roman" w:hAnsi="Times New Roman" w:cs="Times New Roman"/>
            <w:color w:val="auto"/>
            <w:sz w:val="20"/>
            <w:u w:val="none"/>
          </w:rPr>
          <w:t>Andersohn</w:t>
        </w:r>
        <w:proofErr w:type="spellEnd"/>
        <w:r w:rsidR="00FB24FB" w:rsidRPr="006F655E">
          <w:rPr>
            <w:rStyle w:val="Hyperlink"/>
            <w:rFonts w:ascii="Times New Roman" w:hAnsi="Times New Roman" w:cs="Times New Roman"/>
            <w:color w:val="auto"/>
            <w:sz w:val="20"/>
            <w:u w:val="none"/>
          </w:rPr>
          <w:t xml:space="preserve"> F, Konzen C, Garbe E. </w:t>
        </w:r>
        <w:r w:rsidR="006F655E" w:rsidRPr="006F655E">
          <w:rPr>
            <w:rStyle w:val="Hyperlink"/>
            <w:rFonts w:ascii="Times New Roman" w:hAnsi="Times New Roman" w:cs="Times New Roman"/>
            <w:color w:val="auto"/>
            <w:sz w:val="20"/>
            <w:u w:val="none"/>
          </w:rPr>
          <w:t xml:space="preserve">(2007) </w:t>
        </w:r>
        <w:r w:rsidR="00FB24FB" w:rsidRPr="006F655E">
          <w:rPr>
            <w:rStyle w:val="Hyperlink"/>
            <w:rFonts w:ascii="Times New Roman" w:hAnsi="Times New Roman" w:cs="Times New Roman"/>
            <w:color w:val="auto"/>
            <w:sz w:val="20"/>
            <w:u w:val="none"/>
          </w:rPr>
          <w:t>Systematic review: agranulocytosis induced by nonchemotherapy drugs. A</w:t>
        </w:r>
        <w:r w:rsidR="006F655E" w:rsidRPr="006F655E">
          <w:rPr>
            <w:rStyle w:val="Hyperlink"/>
            <w:rFonts w:ascii="Times New Roman" w:hAnsi="Times New Roman" w:cs="Times New Roman"/>
            <w:color w:val="auto"/>
            <w:sz w:val="20"/>
            <w:u w:val="none"/>
          </w:rPr>
          <w:t>nn Intern Med. 146</w:t>
        </w:r>
        <w:r w:rsidR="00FB24FB" w:rsidRPr="006F655E">
          <w:rPr>
            <w:rStyle w:val="Hyperlink"/>
            <w:rFonts w:ascii="Times New Roman" w:hAnsi="Times New Roman" w:cs="Times New Roman"/>
            <w:color w:val="auto"/>
            <w:sz w:val="20"/>
            <w:u w:val="none"/>
          </w:rPr>
          <w:t>:657-65.</w:t>
        </w:r>
      </w:hyperlink>
      <w:r w:rsidR="00FB24FB" w:rsidRPr="006F655E">
        <w:rPr>
          <w:rFonts w:ascii="Times New Roman" w:hAnsi="Times New Roman" w:cs="Times New Roman"/>
          <w:sz w:val="20"/>
        </w:rPr>
        <w:t xml:space="preserve"> </w:t>
      </w:r>
    </w:p>
    <w:p w14:paraId="1F1F99A2"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23" w:history="1">
        <w:r w:rsidR="006F655E" w:rsidRPr="006F655E">
          <w:rPr>
            <w:rStyle w:val="Hyperlink"/>
            <w:rFonts w:ascii="Times New Roman" w:hAnsi="Times New Roman" w:cs="Times New Roman"/>
            <w:color w:val="auto"/>
            <w:sz w:val="20"/>
            <w:u w:val="none"/>
          </w:rPr>
          <w:t>Norris A,</w:t>
        </w:r>
        <w:r w:rsidR="00FB24FB" w:rsidRPr="006F655E">
          <w:rPr>
            <w:rStyle w:val="Hyperlink"/>
            <w:rFonts w:ascii="Times New Roman" w:hAnsi="Times New Roman" w:cs="Times New Roman"/>
            <w:color w:val="auto"/>
            <w:sz w:val="20"/>
            <w:u w:val="none"/>
          </w:rPr>
          <w:t xml:space="preserve"> Shrestha</w:t>
        </w:r>
        <w:r w:rsidR="006F655E" w:rsidRPr="006F655E">
          <w:rPr>
            <w:rStyle w:val="Hyperlink"/>
            <w:rFonts w:ascii="Times New Roman" w:hAnsi="Times New Roman" w:cs="Times New Roman"/>
            <w:color w:val="auto"/>
            <w:sz w:val="20"/>
            <w:u w:val="none"/>
          </w:rPr>
          <w:t xml:space="preserve"> N, Allison G, Keller S, Bhavan K, </w:t>
        </w:r>
        <w:r w:rsidR="00FB24FB" w:rsidRPr="006F655E">
          <w:rPr>
            <w:rStyle w:val="Hyperlink"/>
            <w:rFonts w:ascii="Times New Roman" w:hAnsi="Times New Roman" w:cs="Times New Roman"/>
            <w:color w:val="auto"/>
            <w:sz w:val="20"/>
            <w:u w:val="none"/>
          </w:rPr>
          <w:t xml:space="preserve">et al. </w:t>
        </w:r>
        <w:r w:rsidR="006F655E" w:rsidRPr="006F655E">
          <w:rPr>
            <w:rStyle w:val="Hyperlink"/>
            <w:rFonts w:ascii="Times New Roman" w:hAnsi="Times New Roman" w:cs="Times New Roman"/>
            <w:color w:val="auto"/>
            <w:sz w:val="20"/>
            <w:u w:val="none"/>
          </w:rPr>
          <w:t xml:space="preserve">(2019) </w:t>
        </w:r>
        <w:r w:rsidR="00FB24FB" w:rsidRPr="006F655E">
          <w:rPr>
            <w:rStyle w:val="Hyperlink"/>
            <w:rFonts w:ascii="Times New Roman" w:hAnsi="Times New Roman" w:cs="Times New Roman"/>
            <w:color w:val="auto"/>
            <w:sz w:val="20"/>
            <w:u w:val="none"/>
          </w:rPr>
          <w:t xml:space="preserve">2018 Infectious Diseases Society of America Clinical Practice Guideline for the Management of Outpatient Parenteral Antimicrobial Therapy. Clin. Infect. Dis. </w:t>
        </w:r>
        <w:proofErr w:type="gramStart"/>
        <w:r w:rsidR="006F655E" w:rsidRPr="006F655E">
          <w:rPr>
            <w:rStyle w:val="Hyperlink"/>
            <w:rFonts w:ascii="Times New Roman" w:hAnsi="Times New Roman" w:cs="Times New Roman"/>
            <w:color w:val="auto"/>
            <w:sz w:val="20"/>
            <w:u w:val="none"/>
          </w:rPr>
          <w:t>68:</w:t>
        </w:r>
        <w:r w:rsidR="00FB24FB" w:rsidRPr="006F655E">
          <w:rPr>
            <w:rStyle w:val="Hyperlink"/>
            <w:rFonts w:ascii="Times New Roman" w:hAnsi="Times New Roman" w:cs="Times New Roman"/>
            <w:color w:val="auto"/>
            <w:sz w:val="20"/>
            <w:u w:val="none"/>
          </w:rPr>
          <w:t>e</w:t>
        </w:r>
        <w:proofErr w:type="gramEnd"/>
        <w:r w:rsidR="00FB24FB" w:rsidRPr="006F655E">
          <w:rPr>
            <w:rStyle w:val="Hyperlink"/>
            <w:rFonts w:ascii="Times New Roman" w:hAnsi="Times New Roman" w:cs="Times New Roman"/>
            <w:color w:val="auto"/>
            <w:sz w:val="20"/>
            <w:u w:val="none"/>
          </w:rPr>
          <w:t>1–e35.</w:t>
        </w:r>
      </w:hyperlink>
      <w:r w:rsidR="00FB24FB" w:rsidRPr="006F655E">
        <w:rPr>
          <w:rFonts w:ascii="Times New Roman" w:hAnsi="Times New Roman" w:cs="Times New Roman"/>
          <w:sz w:val="20"/>
        </w:rPr>
        <w:t xml:space="preserve"> </w:t>
      </w:r>
    </w:p>
    <w:p w14:paraId="1A55AA27"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24" w:history="1">
        <w:r w:rsidR="00FB24FB" w:rsidRPr="006F655E">
          <w:rPr>
            <w:rStyle w:val="Hyperlink"/>
            <w:rFonts w:ascii="Times New Roman" w:hAnsi="Times New Roman" w:cs="Times New Roman"/>
            <w:color w:val="auto"/>
            <w:sz w:val="20"/>
            <w:u w:val="none"/>
          </w:rPr>
          <w:t xml:space="preserve">Chapman ALN, Patel S, Horner C, Green H, </w:t>
        </w:r>
        <w:proofErr w:type="spellStart"/>
        <w:r w:rsidR="00FB24FB" w:rsidRPr="006F655E">
          <w:rPr>
            <w:rStyle w:val="Hyperlink"/>
            <w:rFonts w:ascii="Times New Roman" w:hAnsi="Times New Roman" w:cs="Times New Roman"/>
            <w:color w:val="auto"/>
            <w:sz w:val="20"/>
            <w:u w:val="none"/>
          </w:rPr>
          <w:t>Guleri</w:t>
        </w:r>
        <w:proofErr w:type="spellEnd"/>
        <w:r w:rsidR="00FB24FB" w:rsidRPr="006F655E">
          <w:rPr>
            <w:rStyle w:val="Hyperlink"/>
            <w:rFonts w:ascii="Times New Roman" w:hAnsi="Times New Roman" w:cs="Times New Roman"/>
            <w:color w:val="auto"/>
            <w:sz w:val="20"/>
            <w:u w:val="none"/>
          </w:rPr>
          <w:t xml:space="preserve"> A, </w:t>
        </w:r>
        <w:r w:rsidR="006F655E" w:rsidRPr="006F655E">
          <w:rPr>
            <w:rStyle w:val="Hyperlink"/>
            <w:rFonts w:ascii="Times New Roman" w:hAnsi="Times New Roman" w:cs="Times New Roman"/>
            <w:color w:val="auto"/>
            <w:sz w:val="20"/>
            <w:u w:val="none"/>
          </w:rPr>
          <w:t>et al (2019)</w:t>
        </w:r>
        <w:r w:rsidR="00FB24FB" w:rsidRPr="006F655E">
          <w:rPr>
            <w:rStyle w:val="Hyperlink"/>
            <w:rFonts w:ascii="Times New Roman" w:hAnsi="Times New Roman" w:cs="Times New Roman"/>
            <w:color w:val="auto"/>
            <w:sz w:val="20"/>
            <w:u w:val="none"/>
          </w:rPr>
          <w:t xml:space="preserve"> Updated good practice recommendations for outpatient </w:t>
        </w:r>
        <w:proofErr w:type="spellStart"/>
        <w:r w:rsidR="00FB24FB" w:rsidRPr="006F655E">
          <w:rPr>
            <w:rStyle w:val="Hyperlink"/>
            <w:rFonts w:ascii="Times New Roman" w:hAnsi="Times New Roman" w:cs="Times New Roman"/>
            <w:color w:val="auto"/>
            <w:sz w:val="20"/>
            <w:u w:val="none"/>
          </w:rPr>
          <w:t>patenteral</w:t>
        </w:r>
        <w:proofErr w:type="spellEnd"/>
        <w:r w:rsidR="00FB24FB" w:rsidRPr="006F655E">
          <w:rPr>
            <w:rStyle w:val="Hyperlink"/>
            <w:rFonts w:ascii="Times New Roman" w:hAnsi="Times New Roman" w:cs="Times New Roman"/>
            <w:color w:val="auto"/>
            <w:sz w:val="20"/>
            <w:u w:val="none"/>
          </w:rPr>
          <w:t xml:space="preserve"> antimicrobial therapy (OPAT) in adults and children in the UK. JAC </w:t>
        </w:r>
        <w:proofErr w:type="spellStart"/>
        <w:r w:rsidR="00FB24FB" w:rsidRPr="006F655E">
          <w:rPr>
            <w:rStyle w:val="Hyperlink"/>
            <w:rFonts w:ascii="Times New Roman" w:hAnsi="Times New Roman" w:cs="Times New Roman"/>
            <w:color w:val="auto"/>
            <w:sz w:val="20"/>
            <w:u w:val="none"/>
          </w:rPr>
          <w:t>Antimicrob</w:t>
        </w:r>
        <w:proofErr w:type="spellEnd"/>
        <w:r w:rsidR="00FB24FB" w:rsidRPr="006F655E">
          <w:rPr>
            <w:rStyle w:val="Hyperlink"/>
            <w:rFonts w:ascii="Times New Roman" w:hAnsi="Times New Roman" w:cs="Times New Roman"/>
            <w:color w:val="auto"/>
            <w:sz w:val="20"/>
            <w:u w:val="none"/>
          </w:rPr>
          <w:t xml:space="preserve"> Resist </w:t>
        </w:r>
        <w:proofErr w:type="gramStart"/>
        <w:r w:rsidR="00FB24FB" w:rsidRPr="006F655E">
          <w:rPr>
            <w:rStyle w:val="Hyperlink"/>
            <w:rFonts w:ascii="Times New Roman" w:hAnsi="Times New Roman" w:cs="Times New Roman"/>
            <w:color w:val="auto"/>
            <w:sz w:val="20"/>
            <w:u w:val="none"/>
          </w:rPr>
          <w:t>1:dlz</w:t>
        </w:r>
        <w:proofErr w:type="gramEnd"/>
        <w:r w:rsidR="00FB24FB" w:rsidRPr="006F655E">
          <w:rPr>
            <w:rStyle w:val="Hyperlink"/>
            <w:rFonts w:ascii="Times New Roman" w:hAnsi="Times New Roman" w:cs="Times New Roman"/>
            <w:color w:val="auto"/>
            <w:sz w:val="20"/>
            <w:u w:val="none"/>
          </w:rPr>
          <w:t>026.</w:t>
        </w:r>
      </w:hyperlink>
      <w:r w:rsidR="00FB24FB" w:rsidRPr="006F655E">
        <w:rPr>
          <w:rFonts w:ascii="Times New Roman" w:hAnsi="Times New Roman" w:cs="Times New Roman"/>
          <w:sz w:val="20"/>
        </w:rPr>
        <w:t xml:space="preserve"> </w:t>
      </w:r>
    </w:p>
    <w:p w14:paraId="636D6CE3"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25" w:history="1">
        <w:r w:rsidR="00FB24FB" w:rsidRPr="006F655E">
          <w:rPr>
            <w:rStyle w:val="Hyperlink"/>
            <w:rFonts w:ascii="Times New Roman" w:hAnsi="Times New Roman" w:cs="Times New Roman"/>
            <w:color w:val="auto"/>
            <w:sz w:val="20"/>
            <w:u w:val="none"/>
          </w:rPr>
          <w:t xml:space="preserve">Blake E, Lau TT, </w:t>
        </w:r>
        <w:proofErr w:type="spellStart"/>
        <w:r w:rsidR="00FB24FB" w:rsidRPr="006F655E">
          <w:rPr>
            <w:rStyle w:val="Hyperlink"/>
            <w:rFonts w:ascii="Times New Roman" w:hAnsi="Times New Roman" w:cs="Times New Roman"/>
            <w:color w:val="auto"/>
            <w:sz w:val="20"/>
            <w:u w:val="none"/>
          </w:rPr>
          <w:t>Ensom</w:t>
        </w:r>
        <w:proofErr w:type="spellEnd"/>
        <w:r w:rsidR="00FB24FB" w:rsidRPr="006F655E">
          <w:rPr>
            <w:rStyle w:val="Hyperlink"/>
            <w:rFonts w:ascii="Times New Roman" w:hAnsi="Times New Roman" w:cs="Times New Roman"/>
            <w:color w:val="auto"/>
            <w:sz w:val="20"/>
            <w:u w:val="none"/>
          </w:rPr>
          <w:t xml:space="preserve"> MH. </w:t>
        </w:r>
        <w:r w:rsidR="006F655E" w:rsidRPr="006F655E">
          <w:rPr>
            <w:rStyle w:val="Hyperlink"/>
            <w:rFonts w:ascii="Times New Roman" w:hAnsi="Times New Roman" w:cs="Times New Roman"/>
            <w:color w:val="auto"/>
            <w:sz w:val="20"/>
            <w:u w:val="none"/>
          </w:rPr>
          <w:t xml:space="preserve">(2011) </w:t>
        </w:r>
        <w:r w:rsidR="00FB24FB" w:rsidRPr="006F655E">
          <w:rPr>
            <w:rStyle w:val="Hyperlink"/>
            <w:rFonts w:ascii="Times New Roman" w:hAnsi="Times New Roman" w:cs="Times New Roman"/>
            <w:color w:val="auto"/>
            <w:sz w:val="20"/>
            <w:u w:val="none"/>
          </w:rPr>
          <w:t>Vancomycin-induced neutropenia: is it dose-or duration- relat</w:t>
        </w:r>
        <w:r w:rsidR="006F655E" w:rsidRPr="006F655E">
          <w:rPr>
            <w:rStyle w:val="Hyperlink"/>
            <w:rFonts w:ascii="Times New Roman" w:hAnsi="Times New Roman" w:cs="Times New Roman"/>
            <w:color w:val="auto"/>
            <w:sz w:val="20"/>
            <w:u w:val="none"/>
          </w:rPr>
          <w:t xml:space="preserve">ed? Ann </w:t>
        </w:r>
        <w:proofErr w:type="spellStart"/>
        <w:r w:rsidR="006F655E" w:rsidRPr="006F655E">
          <w:rPr>
            <w:rStyle w:val="Hyperlink"/>
            <w:rFonts w:ascii="Times New Roman" w:hAnsi="Times New Roman" w:cs="Times New Roman"/>
            <w:color w:val="auto"/>
            <w:sz w:val="20"/>
            <w:u w:val="none"/>
          </w:rPr>
          <w:t>Pharmacother</w:t>
        </w:r>
        <w:proofErr w:type="spellEnd"/>
        <w:r w:rsidR="006F655E" w:rsidRPr="006F655E">
          <w:rPr>
            <w:rStyle w:val="Hyperlink"/>
            <w:rFonts w:ascii="Times New Roman" w:hAnsi="Times New Roman" w:cs="Times New Roman"/>
            <w:color w:val="auto"/>
            <w:sz w:val="20"/>
            <w:u w:val="none"/>
          </w:rPr>
          <w:t>. 45</w:t>
        </w:r>
        <w:r w:rsidR="00FB24FB" w:rsidRPr="006F655E">
          <w:rPr>
            <w:rStyle w:val="Hyperlink"/>
            <w:rFonts w:ascii="Times New Roman" w:hAnsi="Times New Roman" w:cs="Times New Roman"/>
            <w:color w:val="auto"/>
            <w:sz w:val="20"/>
            <w:u w:val="none"/>
          </w:rPr>
          <w:t>:629.</w:t>
        </w:r>
      </w:hyperlink>
      <w:r w:rsidR="00FB24FB" w:rsidRPr="006F655E">
        <w:rPr>
          <w:rFonts w:ascii="Times New Roman" w:hAnsi="Times New Roman" w:cs="Times New Roman"/>
          <w:sz w:val="20"/>
        </w:rPr>
        <w:t xml:space="preserve"> </w:t>
      </w:r>
    </w:p>
    <w:p w14:paraId="77F72EAE" w14:textId="77777777" w:rsidR="00FB24FB" w:rsidRPr="006F655E" w:rsidRDefault="00000000" w:rsidP="00AD6486">
      <w:pPr>
        <w:pStyle w:val="ListParagraph"/>
        <w:numPr>
          <w:ilvl w:val="0"/>
          <w:numId w:val="1"/>
        </w:numPr>
        <w:spacing w:after="0" w:line="240" w:lineRule="auto"/>
        <w:ind w:left="357" w:hanging="357"/>
        <w:mirrorIndents/>
        <w:jc w:val="both"/>
        <w:rPr>
          <w:rFonts w:ascii="Times New Roman" w:hAnsi="Times New Roman" w:cs="Times New Roman"/>
          <w:sz w:val="20"/>
        </w:rPr>
      </w:pPr>
      <w:hyperlink r:id="rId26" w:history="1">
        <w:r w:rsidR="00FB24FB" w:rsidRPr="006F655E">
          <w:rPr>
            <w:rStyle w:val="Hyperlink"/>
            <w:rFonts w:ascii="Times New Roman" w:hAnsi="Times New Roman" w:cs="Times New Roman"/>
            <w:color w:val="auto"/>
            <w:sz w:val="20"/>
            <w:u w:val="none"/>
          </w:rPr>
          <w:t xml:space="preserve">Frisby J, Ali N, </w:t>
        </w:r>
        <w:proofErr w:type="spellStart"/>
        <w:r w:rsidR="00FB24FB" w:rsidRPr="006F655E">
          <w:rPr>
            <w:rStyle w:val="Hyperlink"/>
            <w:rFonts w:ascii="Times New Roman" w:hAnsi="Times New Roman" w:cs="Times New Roman"/>
            <w:color w:val="auto"/>
            <w:sz w:val="20"/>
            <w:u w:val="none"/>
          </w:rPr>
          <w:t>Niemotka</w:t>
        </w:r>
        <w:proofErr w:type="spellEnd"/>
        <w:r w:rsidR="00FB24FB" w:rsidRPr="006F655E">
          <w:rPr>
            <w:rStyle w:val="Hyperlink"/>
            <w:rFonts w:ascii="Times New Roman" w:hAnsi="Times New Roman" w:cs="Times New Roman"/>
            <w:color w:val="auto"/>
            <w:sz w:val="20"/>
            <w:u w:val="none"/>
          </w:rPr>
          <w:t xml:space="preserve"> S, Abate G. </w:t>
        </w:r>
        <w:r w:rsidR="006F655E" w:rsidRPr="006F655E">
          <w:rPr>
            <w:rStyle w:val="Hyperlink"/>
            <w:rFonts w:ascii="Times New Roman" w:hAnsi="Times New Roman" w:cs="Times New Roman"/>
            <w:color w:val="auto"/>
            <w:sz w:val="20"/>
            <w:u w:val="none"/>
          </w:rPr>
          <w:t xml:space="preserve">(2023) </w:t>
        </w:r>
        <w:r w:rsidR="00FB24FB" w:rsidRPr="006F655E">
          <w:rPr>
            <w:rStyle w:val="Hyperlink"/>
            <w:rFonts w:ascii="Times New Roman" w:hAnsi="Times New Roman" w:cs="Times New Roman"/>
            <w:color w:val="auto"/>
            <w:sz w:val="20"/>
            <w:u w:val="none"/>
          </w:rPr>
          <w:t>Usefulness of Routine Laboratory Tests for Follow up of Patients Receiving Outpatient Parenteral Antimicrobial Therapy Run by Infectious Diseases Fellows. Antib</w:t>
        </w:r>
        <w:r w:rsidR="006F655E" w:rsidRPr="006F655E">
          <w:rPr>
            <w:rStyle w:val="Hyperlink"/>
            <w:rFonts w:ascii="Times New Roman" w:hAnsi="Times New Roman" w:cs="Times New Roman"/>
            <w:color w:val="auto"/>
            <w:sz w:val="20"/>
            <w:u w:val="none"/>
          </w:rPr>
          <w:t>iotics (Basel). 12</w:t>
        </w:r>
        <w:r w:rsidR="00FB24FB" w:rsidRPr="006F655E">
          <w:rPr>
            <w:rStyle w:val="Hyperlink"/>
            <w:rFonts w:ascii="Times New Roman" w:hAnsi="Times New Roman" w:cs="Times New Roman"/>
            <w:color w:val="auto"/>
            <w:sz w:val="20"/>
            <w:u w:val="none"/>
          </w:rPr>
          <w:t>:330.</w:t>
        </w:r>
      </w:hyperlink>
      <w:r w:rsidR="00FB24FB" w:rsidRPr="006F655E">
        <w:rPr>
          <w:rFonts w:ascii="Times New Roman" w:hAnsi="Times New Roman" w:cs="Times New Roman"/>
          <w:sz w:val="20"/>
        </w:rPr>
        <w:t xml:space="preserve"> </w:t>
      </w:r>
    </w:p>
    <w:p w14:paraId="60C6D0D4" w14:textId="77777777" w:rsidR="00D86910" w:rsidRPr="00D86910" w:rsidRDefault="00D86910" w:rsidP="000154A4">
      <w:pPr>
        <w:spacing w:after="0" w:line="240" w:lineRule="auto"/>
        <w:jc w:val="both"/>
        <w:rPr>
          <w:rFonts w:ascii="Times New Roman" w:hAnsi="Times New Roman" w:cs="Times New Roman"/>
          <w:sz w:val="20"/>
        </w:rPr>
      </w:pPr>
    </w:p>
    <w:sectPr w:rsidR="00D86910" w:rsidRPr="00D86910" w:rsidSect="00A957F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E8E618" w14:textId="77777777" w:rsidR="006C1899" w:rsidRDefault="006C1899" w:rsidP="00FD6C5B">
      <w:pPr>
        <w:spacing w:after="0" w:line="240" w:lineRule="auto"/>
      </w:pPr>
      <w:r>
        <w:separator/>
      </w:r>
    </w:p>
  </w:endnote>
  <w:endnote w:type="continuationSeparator" w:id="0">
    <w:p w14:paraId="288FC12D" w14:textId="77777777" w:rsidR="006C1899" w:rsidRDefault="006C1899" w:rsidP="00FD6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B669E1" w14:textId="77777777" w:rsidR="006C1899" w:rsidRDefault="006C1899" w:rsidP="00FD6C5B">
      <w:pPr>
        <w:spacing w:after="0" w:line="240" w:lineRule="auto"/>
      </w:pPr>
      <w:r>
        <w:separator/>
      </w:r>
    </w:p>
  </w:footnote>
  <w:footnote w:type="continuationSeparator" w:id="0">
    <w:p w14:paraId="6CA11749" w14:textId="77777777" w:rsidR="006C1899" w:rsidRDefault="006C1899" w:rsidP="00FD6C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9E0C3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DE76D2"/>
    <w:multiLevelType w:val="hybridMultilevel"/>
    <w:tmpl w:val="2C74B4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CF75B35"/>
    <w:multiLevelType w:val="hybridMultilevel"/>
    <w:tmpl w:val="E8886610"/>
    <w:lvl w:ilvl="0" w:tplc="2E28415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08114963">
    <w:abstractNumId w:val="1"/>
  </w:num>
  <w:num w:numId="2" w16cid:durableId="1263419382">
    <w:abstractNumId w:val="2"/>
  </w:num>
  <w:num w:numId="3" w16cid:durableId="962923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F82"/>
    <w:rsid w:val="000154A4"/>
    <w:rsid w:val="00115889"/>
    <w:rsid w:val="00355B94"/>
    <w:rsid w:val="003A4FEB"/>
    <w:rsid w:val="003C4413"/>
    <w:rsid w:val="003C4E1C"/>
    <w:rsid w:val="003D0E6D"/>
    <w:rsid w:val="003E76AA"/>
    <w:rsid w:val="004A1522"/>
    <w:rsid w:val="0050110C"/>
    <w:rsid w:val="00611F82"/>
    <w:rsid w:val="00673C04"/>
    <w:rsid w:val="006C1899"/>
    <w:rsid w:val="006F655E"/>
    <w:rsid w:val="00707D06"/>
    <w:rsid w:val="00834C67"/>
    <w:rsid w:val="008F14C1"/>
    <w:rsid w:val="009016C5"/>
    <w:rsid w:val="00955438"/>
    <w:rsid w:val="009636AE"/>
    <w:rsid w:val="009F3F0A"/>
    <w:rsid w:val="00A24F4A"/>
    <w:rsid w:val="00A957F7"/>
    <w:rsid w:val="00AD6486"/>
    <w:rsid w:val="00AE48B9"/>
    <w:rsid w:val="00BD216B"/>
    <w:rsid w:val="00C36DAC"/>
    <w:rsid w:val="00CB2EE3"/>
    <w:rsid w:val="00CD44AD"/>
    <w:rsid w:val="00D232B1"/>
    <w:rsid w:val="00D77A92"/>
    <w:rsid w:val="00D86910"/>
    <w:rsid w:val="00DF53E1"/>
    <w:rsid w:val="00E25E1F"/>
    <w:rsid w:val="00FB24FB"/>
    <w:rsid w:val="00FC7FC5"/>
    <w:rsid w:val="00FD6C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7F856"/>
  <w15:chartTrackingRefBased/>
  <w15:docId w15:val="{90794EB6-8C1C-4A6F-8676-88ADA6DFB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6C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C5B"/>
  </w:style>
  <w:style w:type="paragraph" w:styleId="Footer">
    <w:name w:val="footer"/>
    <w:basedOn w:val="Normal"/>
    <w:link w:val="FooterChar"/>
    <w:uiPriority w:val="99"/>
    <w:unhideWhenUsed/>
    <w:rsid w:val="00FD6C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C5B"/>
  </w:style>
  <w:style w:type="paragraph" w:styleId="NoSpacing">
    <w:name w:val="No Spacing"/>
    <w:uiPriority w:val="1"/>
    <w:qFormat/>
    <w:rsid w:val="00FD6C5B"/>
    <w:pPr>
      <w:spacing w:after="0" w:line="240" w:lineRule="auto"/>
    </w:pPr>
    <w:rPr>
      <w:rFonts w:eastAsiaTheme="minorEastAsia"/>
    </w:rPr>
  </w:style>
  <w:style w:type="paragraph" w:styleId="NormalWeb">
    <w:name w:val="Normal (Web)"/>
    <w:basedOn w:val="Normal"/>
    <w:uiPriority w:val="99"/>
    <w:unhideWhenUsed/>
    <w:rsid w:val="00FD6C5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3D0E6D"/>
    <w:pPr>
      <w:widowControl w:val="0"/>
      <w:autoSpaceDE w:val="0"/>
      <w:autoSpaceDN w:val="0"/>
      <w:spacing w:after="0" w:line="253" w:lineRule="exact"/>
    </w:pPr>
    <w:rPr>
      <w:rFonts w:ascii="Times New Roman" w:eastAsia="Times New Roman" w:hAnsi="Times New Roman" w:cs="Times New Roman"/>
      <w:lang w:val="en-US"/>
    </w:rPr>
  </w:style>
  <w:style w:type="paragraph" w:styleId="ListParagraph">
    <w:name w:val="List Paragraph"/>
    <w:basedOn w:val="Normal"/>
    <w:uiPriority w:val="34"/>
    <w:qFormat/>
    <w:rsid w:val="00D86910"/>
    <w:pPr>
      <w:ind w:left="720"/>
      <w:contextualSpacing/>
    </w:pPr>
  </w:style>
  <w:style w:type="character" w:styleId="Hyperlink">
    <w:name w:val="Hyperlink"/>
    <w:basedOn w:val="DefaultParagraphFont"/>
    <w:uiPriority w:val="99"/>
    <w:unhideWhenUsed/>
    <w:rsid w:val="006F655E"/>
    <w:rPr>
      <w:color w:val="0563C1" w:themeColor="hyperlink"/>
      <w:u w:val="single"/>
    </w:rPr>
  </w:style>
  <w:style w:type="paragraph" w:styleId="ListBullet">
    <w:name w:val="List Bullet"/>
    <w:basedOn w:val="Normal"/>
    <w:uiPriority w:val="99"/>
    <w:unhideWhenUsed/>
    <w:rsid w:val="00355B94"/>
    <w:pPr>
      <w:numPr>
        <w:numId w:val="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ubmed.ncbi.nlm.nih.gov/32815018/" TargetMode="External"/><Relationship Id="rId18" Type="http://schemas.openxmlformats.org/officeDocument/2006/relationships/hyperlink" Target="https://pubmed.ncbi.nlm.nih.gov/35439822/" TargetMode="External"/><Relationship Id="rId26" Type="http://schemas.openxmlformats.org/officeDocument/2006/relationships/hyperlink" Target="https://pubmed.ncbi.nlm.nih.gov/36830241/" TargetMode="External"/><Relationship Id="rId3" Type="http://schemas.openxmlformats.org/officeDocument/2006/relationships/settings" Target="settings.xml"/><Relationship Id="rId21" Type="http://schemas.openxmlformats.org/officeDocument/2006/relationships/hyperlink" Target="https://pubmed.ncbi.nlm.nih.gov/27813353/" TargetMode="External"/><Relationship Id="rId7" Type="http://schemas.openxmlformats.org/officeDocument/2006/relationships/image" Target="media/image1.png"/><Relationship Id="rId12" Type="http://schemas.openxmlformats.org/officeDocument/2006/relationships/hyperlink" Target="https://pubmed.ncbi.nlm.nih.gov/25424130/" TargetMode="External"/><Relationship Id="rId17" Type="http://schemas.openxmlformats.org/officeDocument/2006/relationships/hyperlink" Target="https://pubmed.ncbi.nlm.nih.gov/1627027/" TargetMode="External"/><Relationship Id="rId25" Type="http://schemas.openxmlformats.org/officeDocument/2006/relationships/hyperlink" Target="https://pubmed.ncbi.nlm.nih.gov/21521866/" TargetMode="External"/><Relationship Id="rId2" Type="http://schemas.openxmlformats.org/officeDocument/2006/relationships/styles" Target="styles.xml"/><Relationship Id="rId16" Type="http://schemas.openxmlformats.org/officeDocument/2006/relationships/hyperlink" Target="https://pubmed.ncbi.nlm.nih.gov/37837651/" TargetMode="External"/><Relationship Id="rId20" Type="http://schemas.openxmlformats.org/officeDocument/2006/relationships/hyperlink" Target="https://pubmed.ncbi.nlm.nih.gov/181666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med.ncbi.nlm.nih.gov/27766404/" TargetMode="External"/><Relationship Id="rId24" Type="http://schemas.openxmlformats.org/officeDocument/2006/relationships/hyperlink" Target="https://pubmed.ncbi.nlm.nih.gov/34222901/" TargetMode="External"/><Relationship Id="rId5" Type="http://schemas.openxmlformats.org/officeDocument/2006/relationships/footnotes" Target="footnotes.xml"/><Relationship Id="rId15" Type="http://schemas.openxmlformats.org/officeDocument/2006/relationships/hyperlink" Target="https://pubmed.ncbi.nlm.nih.gov/10353303/" TargetMode="External"/><Relationship Id="rId23" Type="http://schemas.openxmlformats.org/officeDocument/2006/relationships/hyperlink" Target="https://pubmed.ncbi.nlm.nih.gov/30423035/" TargetMode="External"/><Relationship Id="rId28" Type="http://schemas.openxmlformats.org/officeDocument/2006/relationships/theme" Target="theme/theme1.xml"/><Relationship Id="rId10" Type="http://schemas.openxmlformats.org/officeDocument/2006/relationships/hyperlink" Target="https://www.ncbi.nlm.nih.gov/pmc/articles/PMC5380382/" TargetMode="External"/><Relationship Id="rId19" Type="http://schemas.openxmlformats.org/officeDocument/2006/relationships/hyperlink" Target="https://pubmed.ncbi.nlm.nih.gov/15001305/" TargetMode="External"/><Relationship Id="rId4" Type="http://schemas.openxmlformats.org/officeDocument/2006/relationships/webSettings" Target="webSettings.xml"/><Relationship Id="rId9" Type="http://schemas.openxmlformats.org/officeDocument/2006/relationships/hyperlink" Target="https://pubmed.ncbi.nlm.nih.gov/34483939/" TargetMode="External"/><Relationship Id="rId14" Type="http://schemas.openxmlformats.org/officeDocument/2006/relationships/hyperlink" Target="https://pubmed.ncbi.nlm.nih.gov/36853004/" TargetMode="External"/><Relationship Id="rId22" Type="http://schemas.openxmlformats.org/officeDocument/2006/relationships/hyperlink" Target="https://pubmed.ncbi.nlm.nih.gov/1747083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2870</Words>
  <Characters>16360</Characters>
  <Application>Microsoft Office Word</Application>
  <DocSecurity>0</DocSecurity>
  <Lines>136</Lines>
  <Paragraphs>38</Paragraphs>
  <ScaleCrop>false</ScaleCrop>
  <Company>HP</Company>
  <LinksUpToDate>false</LinksUpToDate>
  <CharactersWithSpaces>19192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Hendrick</dc:creator>
  <cp:keywords/>
  <dc:description/>
  <cp:lastModifiedBy>P Sai</cp:lastModifiedBy>
  <cp:revision>5</cp:revision>
  <dcterms:created xsi:type="dcterms:W3CDTF">2024-08-24T05:54:00Z</dcterms:created>
  <dcterms:modified xsi:type="dcterms:W3CDTF">2025-02-19T06:48:00Z</dcterms:modified>
</cp:coreProperties>
</file>